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right" w:leader="dot" w:pos="9070"/>
        </w:tabs>
        <w:ind w:left="0" w:leftChars="0"/>
        <w:jc w:val="center"/>
        <w:rPr>
          <w:rFonts w:ascii="华文中宋" w:hAnsi="华文中宋" w:eastAsia="华文中宋"/>
          <w:sz w:val="84"/>
        </w:rPr>
      </w:pPr>
    </w:p>
    <w:p>
      <w:pPr>
        <w:pStyle w:val="9"/>
        <w:tabs>
          <w:tab w:val="right" w:leader="dot" w:pos="9070"/>
        </w:tabs>
        <w:ind w:left="0" w:leftChars="0"/>
        <w:jc w:val="center"/>
        <w:rPr>
          <w:rFonts w:ascii="华文中宋" w:hAnsi="华文中宋" w:eastAsia="华文中宋"/>
          <w:sz w:val="84"/>
        </w:rPr>
      </w:pPr>
    </w:p>
    <w:p>
      <w:pPr>
        <w:pStyle w:val="9"/>
        <w:tabs>
          <w:tab w:val="right" w:leader="dot" w:pos="9070"/>
        </w:tabs>
        <w:ind w:left="0" w:leftChars="0"/>
        <w:jc w:val="center"/>
        <w:rPr>
          <w:rFonts w:ascii="华文中宋" w:hAnsi="华文中宋" w:eastAsia="华文中宋"/>
          <w:sz w:val="84"/>
        </w:rPr>
      </w:pPr>
      <w:r>
        <w:rPr>
          <w:rFonts w:hint="eastAsia" w:ascii="华文中宋" w:hAnsi="华文中宋" w:eastAsia="华文中宋"/>
          <w:sz w:val="84"/>
          <w:lang w:val="en-US" w:eastAsia="zh-CN"/>
        </w:rPr>
        <w:t>吉林</w:t>
      </w:r>
      <w:r>
        <w:rPr>
          <w:rFonts w:hint="eastAsia" w:ascii="华文中宋" w:hAnsi="华文中宋" w:eastAsia="华文中宋"/>
          <w:sz w:val="84"/>
        </w:rPr>
        <w:t>省通信管理局</w:t>
      </w:r>
    </w:p>
    <w:p>
      <w:pPr>
        <w:jc w:val="center"/>
        <w:rPr>
          <w:rFonts w:ascii="华文中宋" w:hAnsi="华文中宋" w:eastAsia="华文中宋"/>
          <w:sz w:val="84"/>
        </w:rPr>
      </w:pPr>
      <w:r>
        <w:rPr>
          <w:rFonts w:hint="eastAsia" w:ascii="华文中宋" w:hAnsi="华文中宋" w:eastAsia="华文中宋"/>
          <w:sz w:val="84"/>
        </w:rPr>
        <w:t>2021年度部门决算</w:t>
      </w:r>
    </w:p>
    <w:p>
      <w:pPr>
        <w:jc w:val="center"/>
        <w:rPr>
          <w:rFonts w:ascii="华文中宋" w:hAnsi="华文中宋" w:eastAsia="华文中宋"/>
          <w:szCs w:val="21"/>
        </w:rPr>
      </w:pPr>
    </w:p>
    <w:p>
      <w:pPr>
        <w:jc w:val="center"/>
        <w:rPr>
          <w:rFonts w:ascii="Times New Roman" w:hAnsi="Times New Roman" w:eastAsia="华文中宋"/>
          <w:szCs w:val="21"/>
        </w:rPr>
      </w:pPr>
    </w:p>
    <w:p>
      <w:pPr>
        <w:jc w:val="center"/>
        <w:rPr>
          <w:rFonts w:ascii="Times New Roman" w:hAnsi="Times New Roman" w:eastAsia="华文中宋"/>
          <w:szCs w:val="21"/>
        </w:rPr>
      </w:pPr>
    </w:p>
    <w:p>
      <w:pPr>
        <w:jc w:val="center"/>
        <w:rPr>
          <w:rFonts w:ascii="Times New Roman" w:hAnsi="Times New Roman" w:eastAsia="华文中宋"/>
          <w:szCs w:val="21"/>
        </w:rPr>
      </w:pPr>
    </w:p>
    <w:p>
      <w:pPr>
        <w:pStyle w:val="9"/>
        <w:tabs>
          <w:tab w:val="right" w:leader="dot" w:pos="9070"/>
        </w:tabs>
        <w:ind w:left="0" w:leftChars="0"/>
        <w:jc w:val="center"/>
        <w:rPr>
          <w:rFonts w:ascii="Times New Roman" w:hAnsi="Times New Roman"/>
          <w:b/>
          <w:bCs/>
          <w:sz w:val="44"/>
        </w:rPr>
      </w:pPr>
    </w:p>
    <w:p>
      <w:pPr>
        <w:pStyle w:val="9"/>
        <w:tabs>
          <w:tab w:val="right" w:leader="dot" w:pos="9070"/>
        </w:tabs>
        <w:ind w:left="0" w:leftChars="0"/>
        <w:jc w:val="center"/>
        <w:rPr>
          <w:rFonts w:ascii="Times New Roman" w:hAnsi="Times New Roman"/>
          <w:b/>
          <w:bCs/>
          <w:sz w:val="44"/>
        </w:rPr>
      </w:pPr>
    </w:p>
    <w:p>
      <w:pPr>
        <w:pStyle w:val="9"/>
        <w:tabs>
          <w:tab w:val="right" w:leader="dot" w:pos="9070"/>
        </w:tabs>
        <w:ind w:left="0" w:leftChars="0"/>
        <w:jc w:val="center"/>
        <w:rPr>
          <w:rFonts w:ascii="Times New Roman" w:hAnsi="Times New Roman"/>
          <w:b/>
          <w:bCs/>
          <w:sz w:val="44"/>
        </w:rPr>
      </w:pPr>
    </w:p>
    <w:p>
      <w:pPr>
        <w:pStyle w:val="9"/>
        <w:tabs>
          <w:tab w:val="right" w:leader="dot" w:pos="9070"/>
        </w:tabs>
        <w:ind w:left="0" w:leftChars="0"/>
        <w:jc w:val="center"/>
        <w:rPr>
          <w:rFonts w:ascii="Times New Roman" w:hAnsi="Times New Roman"/>
          <w:b/>
          <w:bCs/>
          <w:sz w:val="44"/>
        </w:rPr>
      </w:pPr>
    </w:p>
    <w:p>
      <w:pPr>
        <w:rPr>
          <w:rFonts w:ascii="Times New Roman" w:hAnsi="Times New Roman"/>
          <w:b/>
          <w:bCs/>
          <w:sz w:val="44"/>
        </w:rPr>
      </w:pPr>
    </w:p>
    <w:p>
      <w:pPr>
        <w:rPr>
          <w:rFonts w:ascii="Times New Roman" w:hAnsi="Times New Roman"/>
          <w:b/>
          <w:bCs/>
          <w:sz w:val="44"/>
        </w:rPr>
      </w:pPr>
    </w:p>
    <w:p>
      <w:pPr>
        <w:rPr>
          <w:rFonts w:ascii="Times New Roman" w:hAnsi="Times New Roman"/>
          <w:b/>
          <w:bCs/>
          <w:sz w:val="44"/>
        </w:rPr>
      </w:pPr>
    </w:p>
    <w:p>
      <w:pPr>
        <w:pStyle w:val="9"/>
        <w:tabs>
          <w:tab w:val="right" w:leader="dot" w:pos="9070"/>
        </w:tabs>
        <w:ind w:left="0" w:leftChars="0"/>
        <w:jc w:val="center"/>
        <w:rPr>
          <w:rFonts w:ascii="Times New Roman" w:hAnsi="Times New Roman"/>
          <w:b/>
          <w:bCs/>
          <w:sz w:val="44"/>
        </w:rPr>
      </w:pPr>
    </w:p>
    <w:p>
      <w:pPr>
        <w:pStyle w:val="9"/>
        <w:tabs>
          <w:tab w:val="right" w:leader="dot" w:pos="9070"/>
        </w:tabs>
        <w:ind w:left="0" w:leftChars="0"/>
        <w:jc w:val="center"/>
        <w:rPr>
          <w:rFonts w:ascii="Times New Roman" w:hAnsi="Times New Roman"/>
          <w:b/>
          <w:bCs/>
          <w:sz w:val="44"/>
        </w:rPr>
      </w:pPr>
      <w:r>
        <w:rPr>
          <w:rFonts w:hint="eastAsia" w:ascii="Times New Roman" w:hAnsi="Times New Roman"/>
          <w:b/>
          <w:bCs/>
          <w:sz w:val="44"/>
        </w:rPr>
        <w:t>二〇二二年</w:t>
      </w:r>
      <w:r>
        <w:rPr>
          <w:rFonts w:hint="eastAsia" w:ascii="Times New Roman" w:hAnsi="Times New Roman"/>
          <w:b/>
          <w:bCs/>
          <w:sz w:val="44"/>
          <w:lang w:val="en-US" w:eastAsia="zh-CN"/>
        </w:rPr>
        <w:t>八</w:t>
      </w:r>
      <w:r>
        <w:rPr>
          <w:rFonts w:hint="eastAsia" w:ascii="Times New Roman" w:hAnsi="Times New Roman"/>
          <w:b/>
          <w:bCs/>
          <w:sz w:val="44"/>
        </w:rPr>
        <w:t>月</w:t>
      </w:r>
    </w:p>
    <w:p>
      <w:pPr>
        <w:spacing w:line="560" w:lineRule="exact"/>
        <w:jc w:val="center"/>
        <w:rPr>
          <w:rFonts w:ascii="宋体" w:hAnsi="宋体" w:eastAsia="宋体"/>
          <w:sz w:val="32"/>
          <w:szCs w:val="32"/>
        </w:rPr>
      </w:pPr>
    </w:p>
    <w:p>
      <w:pPr>
        <w:spacing w:line="560" w:lineRule="exact"/>
        <w:jc w:val="center"/>
        <w:rPr>
          <w:rFonts w:ascii="宋体" w:hAnsi="宋体" w:eastAsia="宋体"/>
          <w:sz w:val="32"/>
          <w:szCs w:val="32"/>
        </w:rPr>
      </w:pPr>
    </w:p>
    <w:p>
      <w:pPr>
        <w:spacing w:line="560" w:lineRule="exact"/>
        <w:jc w:val="center"/>
        <w:rPr>
          <w:rFonts w:ascii="宋体" w:hAnsi="宋体" w:eastAsia="宋体"/>
          <w:sz w:val="32"/>
          <w:szCs w:val="32"/>
        </w:rPr>
      </w:pPr>
    </w:p>
    <w:p>
      <w:pPr>
        <w:pStyle w:val="22"/>
        <w:jc w:val="center"/>
        <w:rPr>
          <w:color w:val="auto"/>
          <w:sz w:val="44"/>
          <w:szCs w:val="44"/>
          <w:lang w:val="zh-CN"/>
        </w:rPr>
      </w:pPr>
      <w:r>
        <w:rPr>
          <w:color w:val="auto"/>
          <w:sz w:val="44"/>
          <w:szCs w:val="44"/>
          <w:lang w:val="zh-CN"/>
        </w:rPr>
        <w:t>目</w:t>
      </w:r>
      <w:r>
        <w:rPr>
          <w:rFonts w:hint="eastAsia"/>
          <w:color w:val="auto"/>
          <w:sz w:val="44"/>
          <w:szCs w:val="44"/>
          <w:lang w:val="zh-CN"/>
        </w:rPr>
        <w:t xml:space="preserve">   </w:t>
      </w:r>
      <w:r>
        <w:rPr>
          <w:color w:val="auto"/>
          <w:sz w:val="44"/>
          <w:szCs w:val="44"/>
          <w:lang w:val="zh-CN"/>
        </w:rPr>
        <w:t>录</w:t>
      </w:r>
    </w:p>
    <w:p>
      <w:pPr>
        <w:rPr>
          <w:lang w:val="zh-CN"/>
        </w:rPr>
      </w:pPr>
    </w:p>
    <w:p>
      <w:pPr>
        <w:pStyle w:val="8"/>
        <w:rPr>
          <w:kern w:val="2"/>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HYPERLINK  \l "_Toc110258322" </w:instrText>
      </w:r>
      <w:r>
        <w:fldChar w:fldCharType="separate"/>
      </w:r>
      <w:r>
        <w:rPr>
          <w:rStyle w:val="12"/>
          <w:rFonts w:hint="eastAsia" w:ascii="黑体" w:eastAsia="黑体"/>
          <w:sz w:val="28"/>
          <w:szCs w:val="28"/>
        </w:rPr>
        <w:t>第一部分</w:t>
      </w:r>
      <w:r>
        <w:fldChar w:fldCharType="end"/>
      </w:r>
      <w:r>
        <w:rPr>
          <w:rStyle w:val="12"/>
          <w:rFonts w:hint="eastAsia"/>
          <w:sz w:val="28"/>
          <w:szCs w:val="28"/>
          <w:u w:val="none"/>
        </w:rPr>
        <w:t xml:space="preserve"> </w:t>
      </w:r>
      <w:r>
        <w:rPr>
          <w:rStyle w:val="12"/>
          <w:rFonts w:hint="eastAsia" w:ascii="黑体" w:hAnsi="Times New Roman" w:eastAsia="黑体" w:cs="Times New Roman"/>
          <w:sz w:val="28"/>
          <w:szCs w:val="28"/>
          <w:lang w:eastAsia="zh-CN"/>
        </w:rPr>
        <w:t>吉林</w:t>
      </w:r>
      <w:r>
        <w:fldChar w:fldCharType="begin"/>
      </w:r>
      <w:r>
        <w:instrText xml:space="preserve">HYPERLINK  \l "_Toc110258323" </w:instrText>
      </w:r>
      <w:r>
        <w:fldChar w:fldCharType="separate"/>
      </w:r>
      <w:r>
        <w:rPr>
          <w:rStyle w:val="12"/>
          <w:rFonts w:hint="eastAsia" w:ascii="黑体" w:hAnsi="Times New Roman" w:eastAsia="黑体"/>
          <w:sz w:val="28"/>
          <w:szCs w:val="28"/>
        </w:rPr>
        <w:t>省通信管理局概况</w:t>
      </w:r>
      <w:r>
        <w:rPr>
          <w:sz w:val="28"/>
          <w:szCs w:val="28"/>
        </w:rPr>
        <w:tab/>
      </w:r>
      <w:r>
        <w:rPr>
          <w:sz w:val="28"/>
          <w:szCs w:val="28"/>
        </w:rPr>
        <w:fldChar w:fldCharType="begin"/>
      </w:r>
      <w:r>
        <w:rPr>
          <w:sz w:val="28"/>
          <w:szCs w:val="28"/>
        </w:rPr>
        <w:instrText xml:space="preserve"> PAGEREF _Toc110258323 \h </w:instrText>
      </w:r>
      <w:r>
        <w:rPr>
          <w:sz w:val="28"/>
          <w:szCs w:val="28"/>
        </w:rPr>
        <w:fldChar w:fldCharType="separate"/>
      </w:r>
      <w:r>
        <w:rPr>
          <w:sz w:val="28"/>
          <w:szCs w:val="28"/>
        </w:rPr>
        <w:t>1</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"_Toc110258324" </w:instrText>
      </w:r>
      <w:r>
        <w:fldChar w:fldCharType="separate"/>
      </w:r>
      <w:r>
        <w:rPr>
          <w:rStyle w:val="12"/>
          <w:rFonts w:hint="eastAsia" w:ascii="Times New Roman" w:hAnsi="Times New Roman" w:cs="黑体"/>
          <w:sz w:val="28"/>
          <w:szCs w:val="28"/>
        </w:rPr>
        <w:t>一、部门职责</w:t>
      </w:r>
      <w:r>
        <w:rPr>
          <w:sz w:val="28"/>
          <w:szCs w:val="28"/>
        </w:rPr>
        <w:tab/>
      </w:r>
      <w:r>
        <w:rPr>
          <w:sz w:val="28"/>
          <w:szCs w:val="28"/>
        </w:rPr>
        <w:fldChar w:fldCharType="begin"/>
      </w:r>
      <w:r>
        <w:rPr>
          <w:sz w:val="28"/>
          <w:szCs w:val="28"/>
        </w:rPr>
        <w:instrText xml:space="preserve"> PAGEREF _Toc110258324 \h </w:instrText>
      </w:r>
      <w:r>
        <w:rPr>
          <w:sz w:val="28"/>
          <w:szCs w:val="28"/>
        </w:rPr>
        <w:fldChar w:fldCharType="separate"/>
      </w:r>
      <w:r>
        <w:rPr>
          <w:sz w:val="28"/>
          <w:szCs w:val="28"/>
        </w:rPr>
        <w:t>2</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"_Toc110258325" </w:instrText>
      </w:r>
      <w:r>
        <w:fldChar w:fldCharType="separate"/>
      </w:r>
      <w:r>
        <w:rPr>
          <w:rStyle w:val="12"/>
          <w:rFonts w:hint="eastAsia" w:ascii="Times New Roman" w:hAnsi="Times New Roman" w:cs="黑体"/>
          <w:sz w:val="28"/>
          <w:szCs w:val="28"/>
        </w:rPr>
        <w:t>二、机构设置</w:t>
      </w:r>
      <w:r>
        <w:rPr>
          <w:sz w:val="28"/>
          <w:szCs w:val="28"/>
        </w:rPr>
        <w:tab/>
      </w:r>
      <w:r>
        <w:rPr>
          <w:rFonts w:hint="eastAsia"/>
          <w:sz w:val="28"/>
          <w:szCs w:val="28"/>
          <w:lang w:val="en-US" w:eastAsia="zh-CN"/>
        </w:rPr>
        <w:t>3</w:t>
      </w:r>
      <w:r>
        <w:fldChar w:fldCharType="end"/>
      </w:r>
    </w:p>
    <w:p>
      <w:pPr>
        <w:pStyle w:val="8"/>
        <w:rPr>
          <w:kern w:val="2"/>
          <w:sz w:val="28"/>
          <w:szCs w:val="28"/>
        </w:rPr>
      </w:pPr>
      <w:r>
        <w:fldChar w:fldCharType="begin"/>
      </w:r>
      <w:r>
        <w:instrText xml:space="preserve">HYPERLINK  \l "_Toc110258326" </w:instrText>
      </w:r>
      <w:r>
        <w:fldChar w:fldCharType="separate"/>
      </w:r>
      <w:r>
        <w:rPr>
          <w:rStyle w:val="12"/>
          <w:rFonts w:hint="eastAsia" w:ascii="黑体" w:hAnsi="Times New Roman" w:eastAsia="黑体"/>
          <w:sz w:val="28"/>
          <w:szCs w:val="28"/>
        </w:rPr>
        <w:t>第二部分</w:t>
      </w:r>
      <w:r>
        <w:fldChar w:fldCharType="end"/>
      </w:r>
      <w:r>
        <w:rPr>
          <w:rFonts w:hint="eastAsia"/>
          <w:kern w:val="2"/>
          <w:sz w:val="28"/>
          <w:szCs w:val="28"/>
        </w:rPr>
        <w:t xml:space="preserve"> </w:t>
      </w:r>
      <w:r>
        <w:fldChar w:fldCharType="begin"/>
      </w:r>
      <w:r>
        <w:instrText xml:space="preserve">HYPERLINK  \l "_Toc110258327" </w:instrText>
      </w:r>
      <w:r>
        <w:fldChar w:fldCharType="separate"/>
      </w:r>
      <w:r>
        <w:rPr>
          <w:rStyle w:val="12"/>
          <w:rFonts w:ascii="黑体" w:hAnsi="Times New Roman" w:eastAsia="黑体"/>
          <w:sz w:val="28"/>
          <w:szCs w:val="28"/>
        </w:rPr>
        <w:t>2021</w:t>
      </w:r>
      <w:r>
        <w:rPr>
          <w:rStyle w:val="12"/>
          <w:rFonts w:hint="eastAsia" w:ascii="黑体" w:hAnsi="Times New Roman" w:eastAsia="黑体"/>
          <w:sz w:val="28"/>
          <w:szCs w:val="28"/>
        </w:rPr>
        <w:t>年度部门决算报表</w:t>
      </w:r>
      <w:r>
        <w:rPr>
          <w:sz w:val="28"/>
          <w:szCs w:val="28"/>
        </w:rPr>
        <w:tab/>
      </w:r>
      <w:r>
        <w:rPr>
          <w:rFonts w:hint="eastAsia"/>
          <w:sz w:val="28"/>
          <w:szCs w:val="28"/>
          <w:lang w:val="en-US" w:eastAsia="zh-CN"/>
        </w:rPr>
        <w:t>4</w:t>
      </w:r>
      <w:r>
        <w:fldChar w:fldCharType="end"/>
      </w:r>
    </w:p>
    <w:p>
      <w:pPr>
        <w:pStyle w:val="9"/>
        <w:tabs>
          <w:tab w:val="right" w:leader="dot" w:pos="9736"/>
        </w:tabs>
        <w:spacing w:line="380" w:lineRule="exact"/>
        <w:rPr>
          <w:sz w:val="28"/>
          <w:szCs w:val="28"/>
        </w:rPr>
      </w:pPr>
      <w:r>
        <w:fldChar w:fldCharType="begin"/>
      </w:r>
      <w:r>
        <w:instrText xml:space="preserve">HYPERLINK  \l "_Toc110258328" </w:instrText>
      </w:r>
      <w:r>
        <w:fldChar w:fldCharType="separate"/>
      </w:r>
      <w:r>
        <w:rPr>
          <w:rStyle w:val="12"/>
          <w:rFonts w:hint="eastAsia"/>
          <w:kern w:val="0"/>
          <w:sz w:val="28"/>
          <w:szCs w:val="28"/>
        </w:rPr>
        <w:t>收入支出决算总表</w:t>
      </w:r>
      <w:r>
        <w:rPr>
          <w:sz w:val="28"/>
          <w:szCs w:val="28"/>
        </w:rPr>
        <w:tab/>
      </w:r>
      <w:r>
        <w:rPr>
          <w:rFonts w:hint="eastAsia"/>
          <w:sz w:val="28"/>
          <w:szCs w:val="28"/>
          <w:lang w:val="en-US" w:eastAsia="zh-CN"/>
        </w:rPr>
        <w:t>5</w:t>
      </w:r>
      <w:r>
        <w:fldChar w:fldCharType="end"/>
      </w:r>
    </w:p>
    <w:p>
      <w:pPr>
        <w:pStyle w:val="9"/>
        <w:tabs>
          <w:tab w:val="right" w:leader="dot" w:pos="9736"/>
        </w:tabs>
        <w:spacing w:line="380" w:lineRule="exact"/>
        <w:rPr>
          <w:sz w:val="28"/>
          <w:szCs w:val="28"/>
        </w:rPr>
      </w:pPr>
      <w:r>
        <w:fldChar w:fldCharType="begin"/>
      </w:r>
      <w:r>
        <w:instrText xml:space="preserve">HYPERLINK  \l "_Toc110258329" </w:instrText>
      </w:r>
      <w:r>
        <w:fldChar w:fldCharType="separate"/>
      </w:r>
      <w:r>
        <w:rPr>
          <w:rStyle w:val="12"/>
          <w:rFonts w:hint="eastAsia"/>
          <w:kern w:val="0"/>
          <w:sz w:val="28"/>
          <w:szCs w:val="28"/>
        </w:rPr>
        <w:t>收入决算表</w:t>
      </w:r>
      <w:r>
        <w:rPr>
          <w:sz w:val="28"/>
          <w:szCs w:val="28"/>
        </w:rPr>
        <w:tab/>
      </w:r>
      <w:r>
        <w:rPr>
          <w:rFonts w:hint="eastAsia"/>
          <w:sz w:val="28"/>
          <w:szCs w:val="28"/>
          <w:lang w:val="en-US" w:eastAsia="zh-CN"/>
        </w:rPr>
        <w:t>6</w:t>
      </w:r>
      <w:r>
        <w:fldChar w:fldCharType="end"/>
      </w:r>
    </w:p>
    <w:p>
      <w:pPr>
        <w:pStyle w:val="9"/>
        <w:tabs>
          <w:tab w:val="right" w:leader="dot" w:pos="9736"/>
        </w:tabs>
        <w:spacing w:line="380" w:lineRule="exact"/>
        <w:rPr>
          <w:sz w:val="28"/>
          <w:szCs w:val="28"/>
        </w:rPr>
      </w:pPr>
      <w:r>
        <w:fldChar w:fldCharType="begin"/>
      </w:r>
      <w:r>
        <w:instrText xml:space="preserve">HYPERLINK  \l "_Toc110258330" </w:instrText>
      </w:r>
      <w:r>
        <w:fldChar w:fldCharType="separate"/>
      </w:r>
      <w:r>
        <w:rPr>
          <w:rStyle w:val="12"/>
          <w:rFonts w:hint="eastAsia"/>
          <w:kern w:val="0"/>
          <w:sz w:val="28"/>
          <w:szCs w:val="28"/>
        </w:rPr>
        <w:t>支出决算表</w:t>
      </w:r>
      <w:r>
        <w:rPr>
          <w:sz w:val="28"/>
          <w:szCs w:val="28"/>
        </w:rPr>
        <w:tab/>
      </w:r>
      <w:r>
        <w:rPr>
          <w:rFonts w:hint="eastAsia"/>
          <w:sz w:val="28"/>
          <w:szCs w:val="28"/>
          <w:lang w:val="en-US" w:eastAsia="zh-CN"/>
        </w:rPr>
        <w:t>7</w:t>
      </w:r>
      <w:r>
        <w:fldChar w:fldCharType="end"/>
      </w:r>
    </w:p>
    <w:p>
      <w:pPr>
        <w:pStyle w:val="9"/>
        <w:tabs>
          <w:tab w:val="right" w:leader="dot" w:pos="9736"/>
        </w:tabs>
        <w:spacing w:line="380" w:lineRule="exact"/>
        <w:rPr>
          <w:sz w:val="28"/>
          <w:szCs w:val="28"/>
        </w:rPr>
      </w:pPr>
      <w:r>
        <w:fldChar w:fldCharType="begin"/>
      </w:r>
      <w:r>
        <w:instrText xml:space="preserve">HYPERLINK  \l "_Toc110258331" </w:instrText>
      </w:r>
      <w:r>
        <w:fldChar w:fldCharType="separate"/>
      </w:r>
      <w:r>
        <w:rPr>
          <w:rStyle w:val="12"/>
          <w:rFonts w:hint="eastAsia"/>
          <w:kern w:val="0"/>
          <w:sz w:val="28"/>
          <w:szCs w:val="28"/>
        </w:rPr>
        <w:t>财政拨款收入支出决算总表</w:t>
      </w:r>
      <w:r>
        <w:rPr>
          <w:sz w:val="28"/>
          <w:szCs w:val="28"/>
        </w:rPr>
        <w:tab/>
      </w:r>
      <w:r>
        <w:rPr>
          <w:rFonts w:hint="eastAsia"/>
          <w:sz w:val="28"/>
          <w:szCs w:val="28"/>
          <w:lang w:val="en-US" w:eastAsia="zh-CN"/>
        </w:rPr>
        <w:t>8</w:t>
      </w:r>
      <w:r>
        <w:fldChar w:fldCharType="end"/>
      </w:r>
    </w:p>
    <w:p>
      <w:pPr>
        <w:pStyle w:val="9"/>
        <w:tabs>
          <w:tab w:val="right" w:leader="dot" w:pos="9736"/>
        </w:tabs>
        <w:spacing w:line="380" w:lineRule="exact"/>
        <w:rPr>
          <w:sz w:val="28"/>
          <w:szCs w:val="28"/>
        </w:rPr>
      </w:pPr>
      <w:r>
        <w:fldChar w:fldCharType="begin"/>
      </w:r>
      <w:r>
        <w:instrText xml:space="preserve">HYPERLINK  \l "_Toc110258332" </w:instrText>
      </w:r>
      <w:r>
        <w:fldChar w:fldCharType="separate"/>
      </w:r>
      <w:r>
        <w:rPr>
          <w:rStyle w:val="12"/>
          <w:rFonts w:hint="eastAsia"/>
          <w:kern w:val="0"/>
          <w:sz w:val="28"/>
          <w:szCs w:val="28"/>
        </w:rPr>
        <w:t>一般公共预算财政拨款支出决算表</w:t>
      </w:r>
      <w:r>
        <w:rPr>
          <w:sz w:val="28"/>
          <w:szCs w:val="28"/>
        </w:rPr>
        <w:tab/>
      </w:r>
      <w:r>
        <w:rPr>
          <w:rFonts w:hint="eastAsia"/>
          <w:sz w:val="28"/>
          <w:szCs w:val="28"/>
          <w:lang w:val="en-US" w:eastAsia="zh-CN"/>
        </w:rPr>
        <w:t>9</w:t>
      </w:r>
      <w:r>
        <w:fldChar w:fldCharType="end"/>
      </w:r>
    </w:p>
    <w:p>
      <w:pPr>
        <w:pStyle w:val="9"/>
        <w:tabs>
          <w:tab w:val="right" w:leader="dot" w:pos="9736"/>
        </w:tabs>
        <w:spacing w:line="380" w:lineRule="exact"/>
        <w:rPr>
          <w:sz w:val="28"/>
          <w:szCs w:val="28"/>
        </w:rPr>
      </w:pPr>
      <w:r>
        <w:fldChar w:fldCharType="begin"/>
      </w:r>
      <w:r>
        <w:instrText xml:space="preserve">HYPERLINK  \l "_Toc110258333" </w:instrText>
      </w:r>
      <w:r>
        <w:fldChar w:fldCharType="separate"/>
      </w:r>
      <w:r>
        <w:rPr>
          <w:rStyle w:val="12"/>
          <w:rFonts w:hint="eastAsia"/>
          <w:kern w:val="0"/>
          <w:sz w:val="28"/>
          <w:szCs w:val="28"/>
        </w:rPr>
        <w:t>一般公共预算财政拨款基本支出决算明细表</w:t>
      </w:r>
      <w:r>
        <w:rPr>
          <w:sz w:val="28"/>
          <w:szCs w:val="28"/>
        </w:rPr>
        <w:tab/>
      </w:r>
      <w:r>
        <w:rPr>
          <w:rFonts w:hint="eastAsia"/>
          <w:sz w:val="28"/>
          <w:szCs w:val="28"/>
          <w:lang w:val="en-US" w:eastAsia="zh-CN"/>
        </w:rPr>
        <w:t>10</w:t>
      </w:r>
      <w:r>
        <w:fldChar w:fldCharType="end"/>
      </w:r>
    </w:p>
    <w:p>
      <w:pPr>
        <w:pStyle w:val="9"/>
        <w:tabs>
          <w:tab w:val="right" w:leader="dot" w:pos="9736"/>
        </w:tabs>
        <w:spacing w:line="380" w:lineRule="exact"/>
        <w:rPr>
          <w:rFonts w:hint="eastAsia" w:eastAsia="宋体"/>
          <w:sz w:val="28"/>
          <w:szCs w:val="28"/>
          <w:lang w:val="en-US" w:eastAsia="zh-CN"/>
        </w:rPr>
      </w:pPr>
      <w:r>
        <w:fldChar w:fldCharType="begin"/>
      </w:r>
      <w:r>
        <w:instrText xml:space="preserve">HYPERLINK  \l "_Toc110258334" </w:instrText>
      </w:r>
      <w:r>
        <w:fldChar w:fldCharType="separate"/>
      </w:r>
      <w:r>
        <w:rPr>
          <w:rStyle w:val="12"/>
          <w:rFonts w:hint="eastAsia"/>
          <w:kern w:val="0"/>
          <w:sz w:val="28"/>
          <w:szCs w:val="28"/>
        </w:rPr>
        <w:t>一般公共预算财政拨款“三公”经费支出决算表</w:t>
      </w:r>
      <w:r>
        <w:rPr>
          <w:sz w:val="28"/>
          <w:szCs w:val="28"/>
        </w:rPr>
        <w:tab/>
      </w:r>
      <w:r>
        <w:rPr>
          <w:rFonts w:hint="eastAsia"/>
          <w:sz w:val="28"/>
          <w:szCs w:val="28"/>
          <w:lang w:val="en-US" w:eastAsia="zh-CN"/>
        </w:rPr>
        <w:t>11</w:t>
      </w:r>
      <w:r>
        <w:fldChar w:fldCharType="end"/>
      </w:r>
    </w:p>
    <w:p>
      <w:pPr>
        <w:pStyle w:val="9"/>
        <w:tabs>
          <w:tab w:val="right" w:leader="dot" w:pos="9736"/>
        </w:tabs>
        <w:spacing w:line="380" w:lineRule="exact"/>
        <w:rPr>
          <w:rFonts w:hint="eastAsia" w:eastAsia="宋体"/>
          <w:sz w:val="28"/>
          <w:szCs w:val="28"/>
          <w:lang w:val="en-US" w:eastAsia="zh-CN"/>
        </w:rPr>
      </w:pPr>
      <w:r>
        <w:fldChar w:fldCharType="begin"/>
      </w:r>
      <w:r>
        <w:instrText xml:space="preserve">HYPERLINK  \l "_Toc110258335" </w:instrText>
      </w:r>
      <w:r>
        <w:fldChar w:fldCharType="separate"/>
      </w:r>
      <w:r>
        <w:rPr>
          <w:rStyle w:val="12"/>
          <w:rFonts w:hint="eastAsia"/>
          <w:sz w:val="28"/>
          <w:szCs w:val="28"/>
        </w:rPr>
        <w:t>政府性基金预算财政拨款收入支出决算表</w:t>
      </w:r>
      <w:r>
        <w:rPr>
          <w:sz w:val="28"/>
          <w:szCs w:val="28"/>
        </w:rPr>
        <w:tab/>
      </w:r>
      <w:r>
        <w:rPr>
          <w:rFonts w:hint="eastAsia"/>
          <w:sz w:val="28"/>
          <w:szCs w:val="28"/>
          <w:lang w:val="en-US" w:eastAsia="zh-CN"/>
        </w:rPr>
        <w:t>12</w:t>
      </w:r>
      <w:r>
        <w:fldChar w:fldCharType="end"/>
      </w:r>
    </w:p>
    <w:p>
      <w:pPr>
        <w:pStyle w:val="9"/>
        <w:tabs>
          <w:tab w:val="right" w:leader="dot" w:pos="9736"/>
        </w:tabs>
        <w:spacing w:line="380" w:lineRule="exact"/>
        <w:rPr>
          <w:rFonts w:hint="eastAsia" w:eastAsia="宋体"/>
          <w:sz w:val="28"/>
          <w:szCs w:val="28"/>
          <w:lang w:val="en-US" w:eastAsia="zh-CN"/>
        </w:rPr>
      </w:pPr>
      <w:r>
        <w:fldChar w:fldCharType="begin"/>
      </w:r>
      <w:r>
        <w:instrText xml:space="preserve">HYPERLINK  \l "_Toc110258336" </w:instrText>
      </w:r>
      <w:r>
        <w:fldChar w:fldCharType="separate"/>
      </w:r>
      <w:r>
        <w:rPr>
          <w:rStyle w:val="12"/>
          <w:rFonts w:hint="eastAsia"/>
          <w:kern w:val="0"/>
          <w:sz w:val="28"/>
          <w:szCs w:val="28"/>
        </w:rPr>
        <w:t>国有资本经营预算财政拨款支出决算表</w:t>
      </w:r>
      <w:r>
        <w:rPr>
          <w:sz w:val="28"/>
          <w:szCs w:val="28"/>
        </w:rPr>
        <w:tab/>
      </w:r>
      <w:r>
        <w:rPr>
          <w:rFonts w:hint="eastAsia"/>
          <w:sz w:val="28"/>
          <w:szCs w:val="28"/>
          <w:lang w:val="en-US" w:eastAsia="zh-CN"/>
        </w:rPr>
        <w:t>13</w:t>
      </w:r>
      <w:r>
        <w:fldChar w:fldCharType="end"/>
      </w:r>
    </w:p>
    <w:p>
      <w:pPr>
        <w:pStyle w:val="8"/>
        <w:rPr>
          <w:kern w:val="2"/>
          <w:sz w:val="28"/>
          <w:szCs w:val="28"/>
        </w:rPr>
      </w:pPr>
      <w:r>
        <w:fldChar w:fldCharType="begin"/>
      </w:r>
      <w:r>
        <w:instrText xml:space="preserve">HYPERLINK  \l "_Toc110258337" </w:instrText>
      </w:r>
      <w:r>
        <w:fldChar w:fldCharType="separate"/>
      </w:r>
      <w:r>
        <w:rPr>
          <w:rStyle w:val="12"/>
          <w:rFonts w:hint="eastAsia" w:ascii="黑体" w:eastAsia="黑体"/>
          <w:sz w:val="28"/>
          <w:szCs w:val="28"/>
        </w:rPr>
        <w:t>第三部分</w:t>
      </w:r>
      <w:r>
        <w:fldChar w:fldCharType="end"/>
      </w:r>
      <w:r>
        <w:rPr>
          <w:rFonts w:hint="eastAsia"/>
          <w:kern w:val="2"/>
          <w:sz w:val="28"/>
          <w:szCs w:val="28"/>
        </w:rPr>
        <w:t xml:space="preserve"> </w:t>
      </w:r>
      <w:r>
        <w:fldChar w:fldCharType="begin"/>
      </w:r>
      <w:r>
        <w:instrText xml:space="preserve">HYPERLINK  \l "_Toc110258338" </w:instrText>
      </w:r>
      <w:r>
        <w:fldChar w:fldCharType="separate"/>
      </w:r>
      <w:r>
        <w:rPr>
          <w:rStyle w:val="12"/>
          <w:rFonts w:ascii="黑体" w:eastAsia="黑体"/>
          <w:sz w:val="28"/>
          <w:szCs w:val="28"/>
        </w:rPr>
        <w:t>2021</w:t>
      </w:r>
      <w:r>
        <w:rPr>
          <w:rStyle w:val="12"/>
          <w:rFonts w:hint="eastAsia" w:ascii="黑体" w:eastAsia="黑体"/>
          <w:sz w:val="28"/>
          <w:szCs w:val="28"/>
        </w:rPr>
        <w:t>年度部门决算情况说明</w:t>
      </w:r>
      <w:r>
        <w:rPr>
          <w:sz w:val="28"/>
          <w:szCs w:val="28"/>
        </w:rPr>
        <w:tab/>
      </w:r>
      <w:r>
        <w:rPr>
          <w:sz w:val="28"/>
          <w:szCs w:val="28"/>
        </w:rPr>
        <w:fldChar w:fldCharType="begin"/>
      </w:r>
      <w:r>
        <w:rPr>
          <w:sz w:val="28"/>
          <w:szCs w:val="28"/>
        </w:rPr>
        <w:instrText xml:space="preserve"> PAGEREF _Toc110258338 \h </w:instrText>
      </w:r>
      <w:r>
        <w:rPr>
          <w:sz w:val="28"/>
          <w:szCs w:val="28"/>
        </w:rPr>
        <w:fldChar w:fldCharType="separate"/>
      </w:r>
      <w:r>
        <w:rPr>
          <w:sz w:val="28"/>
          <w:szCs w:val="28"/>
        </w:rPr>
        <w:t>14</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"_Toc110258339" </w:instrText>
      </w:r>
      <w:r>
        <w:fldChar w:fldCharType="separate"/>
      </w:r>
      <w:r>
        <w:rPr>
          <w:rStyle w:val="12"/>
          <w:rFonts w:hint="eastAsia"/>
          <w:sz w:val="28"/>
          <w:szCs w:val="28"/>
        </w:rPr>
        <w:t>一、收入支出决算总体情况说明</w:t>
      </w:r>
      <w:r>
        <w:rPr>
          <w:sz w:val="28"/>
          <w:szCs w:val="28"/>
        </w:rPr>
        <w:tab/>
      </w:r>
      <w:r>
        <w:rPr>
          <w:sz w:val="28"/>
          <w:szCs w:val="28"/>
        </w:rPr>
        <w:fldChar w:fldCharType="begin"/>
      </w:r>
      <w:r>
        <w:rPr>
          <w:sz w:val="28"/>
          <w:szCs w:val="28"/>
        </w:rPr>
        <w:instrText xml:space="preserve"> PAGEREF _Toc110258339 \h </w:instrText>
      </w:r>
      <w:r>
        <w:rPr>
          <w:sz w:val="28"/>
          <w:szCs w:val="28"/>
        </w:rPr>
        <w:fldChar w:fldCharType="separate"/>
      </w:r>
      <w:r>
        <w:rPr>
          <w:sz w:val="28"/>
          <w:szCs w:val="28"/>
        </w:rPr>
        <w:t>15</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"_Toc110258340" </w:instrText>
      </w:r>
      <w:r>
        <w:fldChar w:fldCharType="separate"/>
      </w:r>
      <w:r>
        <w:rPr>
          <w:rStyle w:val="12"/>
          <w:rFonts w:hint="eastAsia"/>
          <w:sz w:val="28"/>
          <w:szCs w:val="28"/>
        </w:rPr>
        <w:t>二、收入决算情况说明</w:t>
      </w:r>
      <w:r>
        <w:rPr>
          <w:sz w:val="28"/>
          <w:szCs w:val="28"/>
        </w:rPr>
        <w:tab/>
      </w:r>
      <w:r>
        <w:rPr>
          <w:sz w:val="28"/>
          <w:szCs w:val="28"/>
        </w:rPr>
        <w:fldChar w:fldCharType="begin"/>
      </w:r>
      <w:r>
        <w:rPr>
          <w:sz w:val="28"/>
          <w:szCs w:val="28"/>
        </w:rPr>
        <w:instrText xml:space="preserve"> PAGEREF _Toc110258340 \h </w:instrText>
      </w:r>
      <w:r>
        <w:rPr>
          <w:sz w:val="28"/>
          <w:szCs w:val="28"/>
        </w:rPr>
        <w:fldChar w:fldCharType="separate"/>
      </w:r>
      <w:r>
        <w:rPr>
          <w:sz w:val="28"/>
          <w:szCs w:val="28"/>
        </w:rPr>
        <w:t>15</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"_Toc110258341" </w:instrText>
      </w:r>
      <w:r>
        <w:fldChar w:fldCharType="separate"/>
      </w:r>
      <w:r>
        <w:rPr>
          <w:rStyle w:val="12"/>
          <w:rFonts w:hint="eastAsia"/>
          <w:sz w:val="28"/>
          <w:szCs w:val="28"/>
        </w:rPr>
        <w:t>三、支出决算情况说明</w:t>
      </w:r>
      <w:r>
        <w:rPr>
          <w:sz w:val="28"/>
          <w:szCs w:val="28"/>
        </w:rPr>
        <w:tab/>
      </w:r>
      <w:r>
        <w:rPr>
          <w:sz w:val="28"/>
          <w:szCs w:val="28"/>
        </w:rPr>
        <w:fldChar w:fldCharType="begin"/>
      </w:r>
      <w:r>
        <w:rPr>
          <w:sz w:val="28"/>
          <w:szCs w:val="28"/>
        </w:rPr>
        <w:instrText xml:space="preserve"> PAGEREF _Toc110258341 \h </w:instrText>
      </w:r>
      <w:r>
        <w:rPr>
          <w:sz w:val="28"/>
          <w:szCs w:val="28"/>
        </w:rPr>
        <w:fldChar w:fldCharType="separate"/>
      </w:r>
      <w:r>
        <w:rPr>
          <w:sz w:val="28"/>
          <w:szCs w:val="28"/>
        </w:rPr>
        <w:t>16</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"_Toc110258342" </w:instrText>
      </w:r>
      <w:r>
        <w:fldChar w:fldCharType="separate"/>
      </w:r>
      <w:r>
        <w:rPr>
          <w:rStyle w:val="12"/>
          <w:rFonts w:hint="eastAsia"/>
          <w:sz w:val="28"/>
          <w:szCs w:val="28"/>
        </w:rPr>
        <w:t>四、财政拨款收入支出决算总体情况说明</w:t>
      </w:r>
      <w:r>
        <w:rPr>
          <w:sz w:val="28"/>
          <w:szCs w:val="28"/>
        </w:rPr>
        <w:tab/>
      </w:r>
      <w:r>
        <w:rPr>
          <w:sz w:val="28"/>
          <w:szCs w:val="28"/>
        </w:rPr>
        <w:fldChar w:fldCharType="begin"/>
      </w:r>
      <w:r>
        <w:rPr>
          <w:sz w:val="28"/>
          <w:szCs w:val="28"/>
        </w:rPr>
        <w:instrText xml:space="preserve"> PAGEREF _Toc110258342 \h </w:instrText>
      </w:r>
      <w:r>
        <w:rPr>
          <w:sz w:val="28"/>
          <w:szCs w:val="28"/>
        </w:rPr>
        <w:fldChar w:fldCharType="separate"/>
      </w:r>
      <w:r>
        <w:rPr>
          <w:sz w:val="28"/>
          <w:szCs w:val="28"/>
        </w:rPr>
        <w:t>17</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"_Toc110258343" </w:instrText>
      </w:r>
      <w:r>
        <w:fldChar w:fldCharType="separate"/>
      </w:r>
      <w:r>
        <w:rPr>
          <w:rStyle w:val="12"/>
          <w:rFonts w:hint="eastAsia"/>
          <w:sz w:val="28"/>
          <w:szCs w:val="28"/>
        </w:rPr>
        <w:t>五、一般公共预算财政拨款支出决算情况说明</w:t>
      </w:r>
      <w:r>
        <w:rPr>
          <w:sz w:val="28"/>
          <w:szCs w:val="28"/>
        </w:rPr>
        <w:tab/>
      </w:r>
      <w:r>
        <w:rPr>
          <w:sz w:val="28"/>
          <w:szCs w:val="28"/>
        </w:rPr>
        <w:fldChar w:fldCharType="begin"/>
      </w:r>
      <w:r>
        <w:rPr>
          <w:sz w:val="28"/>
          <w:szCs w:val="28"/>
        </w:rPr>
        <w:instrText xml:space="preserve"> PAGEREF _Toc110258343 \h </w:instrText>
      </w:r>
      <w:r>
        <w:rPr>
          <w:sz w:val="28"/>
          <w:szCs w:val="28"/>
        </w:rPr>
        <w:fldChar w:fldCharType="separate"/>
      </w:r>
      <w:r>
        <w:rPr>
          <w:sz w:val="28"/>
          <w:szCs w:val="28"/>
        </w:rPr>
        <w:t>17</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"_Toc110258344" </w:instrText>
      </w:r>
      <w:r>
        <w:fldChar w:fldCharType="separate"/>
      </w:r>
      <w:r>
        <w:rPr>
          <w:rStyle w:val="12"/>
          <w:rFonts w:hint="eastAsia" w:ascii="楷体_GB2312" w:eastAsia="楷体_GB2312"/>
          <w:sz w:val="28"/>
          <w:szCs w:val="28"/>
        </w:rPr>
        <w:t>（一）财政拨款支出决算总体情况</w:t>
      </w:r>
      <w:r>
        <w:rPr>
          <w:sz w:val="28"/>
          <w:szCs w:val="28"/>
        </w:rPr>
        <w:tab/>
      </w:r>
      <w:r>
        <w:rPr>
          <w:sz w:val="28"/>
          <w:szCs w:val="28"/>
        </w:rPr>
        <w:fldChar w:fldCharType="begin"/>
      </w:r>
      <w:r>
        <w:rPr>
          <w:sz w:val="28"/>
          <w:szCs w:val="28"/>
        </w:rPr>
        <w:instrText xml:space="preserve"> PAGEREF _Toc110258344 \h </w:instrText>
      </w:r>
      <w:r>
        <w:rPr>
          <w:sz w:val="28"/>
          <w:szCs w:val="28"/>
        </w:rPr>
        <w:fldChar w:fldCharType="separate"/>
      </w:r>
      <w:r>
        <w:rPr>
          <w:sz w:val="28"/>
          <w:szCs w:val="28"/>
        </w:rPr>
        <w:t>17</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"_Toc110258345" </w:instrText>
      </w:r>
      <w:r>
        <w:fldChar w:fldCharType="separate"/>
      </w:r>
      <w:r>
        <w:rPr>
          <w:rStyle w:val="12"/>
          <w:rFonts w:hint="eastAsia" w:ascii="楷体_GB2312" w:eastAsia="楷体_GB2312"/>
          <w:sz w:val="28"/>
          <w:szCs w:val="28"/>
        </w:rPr>
        <w:t>（二）财政拨款支出决算结构情况</w:t>
      </w:r>
      <w:r>
        <w:rPr>
          <w:sz w:val="28"/>
          <w:szCs w:val="28"/>
        </w:rPr>
        <w:tab/>
      </w:r>
      <w:r>
        <w:rPr>
          <w:sz w:val="28"/>
          <w:szCs w:val="28"/>
        </w:rPr>
        <w:fldChar w:fldCharType="begin"/>
      </w:r>
      <w:r>
        <w:rPr>
          <w:sz w:val="28"/>
          <w:szCs w:val="28"/>
        </w:rPr>
        <w:instrText xml:space="preserve"> PAGEREF _Toc110258345 \h </w:instrText>
      </w:r>
      <w:r>
        <w:rPr>
          <w:sz w:val="28"/>
          <w:szCs w:val="28"/>
        </w:rPr>
        <w:fldChar w:fldCharType="separate"/>
      </w:r>
      <w:r>
        <w:rPr>
          <w:sz w:val="28"/>
          <w:szCs w:val="28"/>
        </w:rPr>
        <w:t>18</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"_Toc110258346" </w:instrText>
      </w:r>
      <w:r>
        <w:fldChar w:fldCharType="separate"/>
      </w:r>
      <w:r>
        <w:rPr>
          <w:rStyle w:val="12"/>
          <w:rFonts w:hint="eastAsia" w:ascii="楷体_GB2312" w:eastAsia="楷体_GB2312"/>
          <w:sz w:val="28"/>
          <w:szCs w:val="28"/>
        </w:rPr>
        <w:t>（三）财政拨款支出决算具体情况</w:t>
      </w:r>
      <w:r>
        <w:rPr>
          <w:sz w:val="28"/>
          <w:szCs w:val="28"/>
        </w:rPr>
        <w:tab/>
      </w:r>
      <w:r>
        <w:rPr>
          <w:sz w:val="28"/>
          <w:szCs w:val="28"/>
        </w:rPr>
        <w:fldChar w:fldCharType="begin"/>
      </w:r>
      <w:r>
        <w:rPr>
          <w:sz w:val="28"/>
          <w:szCs w:val="28"/>
        </w:rPr>
        <w:instrText xml:space="preserve"> PAGEREF _Toc110258346 \h </w:instrText>
      </w:r>
      <w:r>
        <w:rPr>
          <w:sz w:val="28"/>
          <w:szCs w:val="28"/>
        </w:rPr>
        <w:fldChar w:fldCharType="separate"/>
      </w:r>
      <w:r>
        <w:rPr>
          <w:sz w:val="28"/>
          <w:szCs w:val="28"/>
        </w:rPr>
        <w:t>19</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"_Toc110258347" </w:instrText>
      </w:r>
      <w:r>
        <w:fldChar w:fldCharType="separate"/>
      </w:r>
      <w:r>
        <w:rPr>
          <w:rStyle w:val="12"/>
          <w:rFonts w:hint="eastAsia"/>
          <w:sz w:val="28"/>
          <w:szCs w:val="28"/>
        </w:rPr>
        <w:t>六、一般公共预算财政拨款基本支出决算情况说明</w:t>
      </w:r>
      <w:r>
        <w:rPr>
          <w:sz w:val="28"/>
          <w:szCs w:val="28"/>
        </w:rPr>
        <w:tab/>
      </w:r>
      <w:r>
        <w:rPr>
          <w:sz w:val="28"/>
          <w:szCs w:val="28"/>
        </w:rPr>
        <w:fldChar w:fldCharType="begin"/>
      </w:r>
      <w:r>
        <w:rPr>
          <w:sz w:val="28"/>
          <w:szCs w:val="28"/>
        </w:rPr>
        <w:instrText xml:space="preserve"> PAGEREF _Toc110258347 \h </w:instrText>
      </w:r>
      <w:r>
        <w:rPr>
          <w:sz w:val="28"/>
          <w:szCs w:val="28"/>
        </w:rPr>
        <w:fldChar w:fldCharType="separate"/>
      </w:r>
      <w:r>
        <w:rPr>
          <w:sz w:val="28"/>
          <w:szCs w:val="28"/>
        </w:rPr>
        <w:t>20</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"_Toc110258348" </w:instrText>
      </w:r>
      <w:r>
        <w:fldChar w:fldCharType="separate"/>
      </w:r>
      <w:r>
        <w:rPr>
          <w:rStyle w:val="12"/>
          <w:rFonts w:hint="eastAsia"/>
          <w:sz w:val="28"/>
          <w:szCs w:val="28"/>
        </w:rPr>
        <w:t>七、一般公共预算财政拨款“三公”经费支出决算情况说明</w:t>
      </w:r>
      <w:r>
        <w:rPr>
          <w:sz w:val="28"/>
          <w:szCs w:val="28"/>
        </w:rPr>
        <w:tab/>
      </w:r>
      <w:r>
        <w:rPr>
          <w:sz w:val="28"/>
          <w:szCs w:val="28"/>
        </w:rPr>
        <w:fldChar w:fldCharType="begin"/>
      </w:r>
      <w:r>
        <w:rPr>
          <w:sz w:val="28"/>
          <w:szCs w:val="28"/>
        </w:rPr>
        <w:instrText xml:space="preserve"> PAGEREF _Toc110258348 \h </w:instrText>
      </w:r>
      <w:r>
        <w:rPr>
          <w:sz w:val="28"/>
          <w:szCs w:val="28"/>
        </w:rPr>
        <w:fldChar w:fldCharType="separate"/>
      </w:r>
      <w:r>
        <w:rPr>
          <w:sz w:val="28"/>
          <w:szCs w:val="28"/>
        </w:rPr>
        <w:t>21</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"_Toc110258349" </w:instrText>
      </w:r>
      <w:r>
        <w:fldChar w:fldCharType="separate"/>
      </w:r>
      <w:r>
        <w:rPr>
          <w:rStyle w:val="12"/>
          <w:rFonts w:hint="eastAsia" w:ascii="楷体_GB2312" w:eastAsia="楷体_GB2312"/>
          <w:sz w:val="28"/>
          <w:szCs w:val="28"/>
        </w:rPr>
        <w:t>（一）“三公”经费财政拨款支出决算总体情况说明</w:t>
      </w:r>
      <w:r>
        <w:rPr>
          <w:sz w:val="28"/>
          <w:szCs w:val="28"/>
        </w:rPr>
        <w:tab/>
      </w:r>
      <w:r>
        <w:rPr>
          <w:sz w:val="28"/>
          <w:szCs w:val="28"/>
        </w:rPr>
        <w:fldChar w:fldCharType="begin"/>
      </w:r>
      <w:r>
        <w:rPr>
          <w:sz w:val="28"/>
          <w:szCs w:val="28"/>
        </w:rPr>
        <w:instrText xml:space="preserve"> PAGEREF _Toc110258349 \h </w:instrText>
      </w:r>
      <w:r>
        <w:rPr>
          <w:sz w:val="28"/>
          <w:szCs w:val="28"/>
        </w:rPr>
        <w:fldChar w:fldCharType="separate"/>
      </w:r>
      <w:r>
        <w:rPr>
          <w:sz w:val="28"/>
          <w:szCs w:val="28"/>
        </w:rPr>
        <w:t>21</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"_Toc110258350" </w:instrText>
      </w:r>
      <w:r>
        <w:fldChar w:fldCharType="separate"/>
      </w:r>
      <w:r>
        <w:rPr>
          <w:rStyle w:val="12"/>
          <w:rFonts w:hint="eastAsia" w:ascii="楷体_GB2312" w:eastAsia="楷体_GB2312"/>
          <w:sz w:val="28"/>
          <w:szCs w:val="28"/>
        </w:rPr>
        <w:t>（二）“三公”经费财政拨款支出决算具体情况说明</w:t>
      </w:r>
      <w:r>
        <w:rPr>
          <w:sz w:val="28"/>
          <w:szCs w:val="28"/>
        </w:rPr>
        <w:tab/>
      </w:r>
      <w:r>
        <w:rPr>
          <w:sz w:val="28"/>
          <w:szCs w:val="28"/>
        </w:rPr>
        <w:fldChar w:fldCharType="begin"/>
      </w:r>
      <w:r>
        <w:rPr>
          <w:sz w:val="28"/>
          <w:szCs w:val="28"/>
        </w:rPr>
        <w:instrText xml:space="preserve"> PAGEREF _Toc110258350 \h </w:instrText>
      </w:r>
      <w:r>
        <w:rPr>
          <w:sz w:val="28"/>
          <w:szCs w:val="28"/>
        </w:rPr>
        <w:fldChar w:fldCharType="separate"/>
      </w:r>
      <w:r>
        <w:rPr>
          <w:sz w:val="28"/>
          <w:szCs w:val="28"/>
        </w:rPr>
        <w:t>21</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"_Toc110258351" </w:instrText>
      </w:r>
      <w:r>
        <w:fldChar w:fldCharType="separate"/>
      </w:r>
      <w:r>
        <w:rPr>
          <w:rStyle w:val="12"/>
          <w:rFonts w:hint="eastAsia" w:ascii="Times New Roman" w:hAnsi="Times New Roman"/>
          <w:sz w:val="28"/>
          <w:szCs w:val="28"/>
        </w:rPr>
        <w:t>八、预算绩效情况说明</w:t>
      </w:r>
      <w:r>
        <w:rPr>
          <w:sz w:val="28"/>
          <w:szCs w:val="28"/>
        </w:rPr>
        <w:tab/>
      </w:r>
      <w:r>
        <w:rPr>
          <w:sz w:val="28"/>
          <w:szCs w:val="28"/>
        </w:rPr>
        <w:fldChar w:fldCharType="begin"/>
      </w:r>
      <w:r>
        <w:rPr>
          <w:sz w:val="28"/>
          <w:szCs w:val="28"/>
        </w:rPr>
        <w:instrText xml:space="preserve"> PAGEREF _Toc110258351 \h </w:instrText>
      </w:r>
      <w:r>
        <w:rPr>
          <w:sz w:val="28"/>
          <w:szCs w:val="28"/>
        </w:rPr>
        <w:fldChar w:fldCharType="separate"/>
      </w:r>
      <w:r>
        <w:rPr>
          <w:sz w:val="28"/>
          <w:szCs w:val="28"/>
        </w:rPr>
        <w:t>22</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"_Toc110258352" </w:instrText>
      </w:r>
      <w:r>
        <w:fldChar w:fldCharType="separate"/>
      </w:r>
      <w:r>
        <w:rPr>
          <w:rStyle w:val="12"/>
          <w:rFonts w:hint="eastAsia"/>
          <w:sz w:val="28"/>
          <w:szCs w:val="28"/>
        </w:rPr>
        <w:t>九、其他重要事项的情况说明</w:t>
      </w:r>
      <w:r>
        <w:rPr>
          <w:sz w:val="28"/>
          <w:szCs w:val="28"/>
        </w:rPr>
        <w:tab/>
      </w:r>
      <w:r>
        <w:rPr>
          <w:sz w:val="28"/>
          <w:szCs w:val="28"/>
        </w:rPr>
        <w:fldChar w:fldCharType="begin"/>
      </w:r>
      <w:r>
        <w:rPr>
          <w:sz w:val="28"/>
          <w:szCs w:val="28"/>
        </w:rPr>
        <w:instrText xml:space="preserve"> PAGEREF _Toc110258352 \h </w:instrText>
      </w:r>
      <w:r>
        <w:rPr>
          <w:sz w:val="28"/>
          <w:szCs w:val="28"/>
        </w:rPr>
        <w:fldChar w:fldCharType="separate"/>
      </w:r>
      <w:r>
        <w:rPr>
          <w:sz w:val="28"/>
          <w:szCs w:val="28"/>
        </w:rPr>
        <w:t>23</w:t>
      </w:r>
      <w:r>
        <w:rPr>
          <w:sz w:val="28"/>
          <w:szCs w:val="28"/>
        </w:rPr>
        <w:fldChar w:fldCharType="end"/>
      </w:r>
      <w:r>
        <w:fldChar w:fldCharType="end"/>
      </w:r>
    </w:p>
    <w:p>
      <w:pPr>
        <w:pStyle w:val="8"/>
        <w:rPr>
          <w:kern w:val="2"/>
          <w:sz w:val="28"/>
          <w:szCs w:val="28"/>
        </w:rPr>
      </w:pPr>
      <w:r>
        <w:fldChar w:fldCharType="begin"/>
      </w:r>
      <w:r>
        <w:instrText xml:space="preserve">HYPERLINK  \l "_Toc110258353" </w:instrText>
      </w:r>
      <w:r>
        <w:fldChar w:fldCharType="separate"/>
      </w:r>
      <w:r>
        <w:rPr>
          <w:rStyle w:val="12"/>
          <w:rFonts w:hint="eastAsia" w:ascii="黑体" w:hAnsi="Times New Roman" w:eastAsia="黑体"/>
          <w:sz w:val="28"/>
          <w:szCs w:val="28"/>
        </w:rPr>
        <w:t>第四部分</w:t>
      </w:r>
      <w:r>
        <w:rPr>
          <w:rStyle w:val="12"/>
          <w:rFonts w:ascii="黑体" w:hAnsi="Times New Roman" w:eastAsia="黑体"/>
          <w:sz w:val="28"/>
          <w:szCs w:val="28"/>
        </w:rPr>
        <w:t xml:space="preserve"> </w:t>
      </w:r>
      <w:r>
        <w:rPr>
          <w:rStyle w:val="12"/>
          <w:rFonts w:hint="eastAsia" w:ascii="黑体" w:hAnsi="Times New Roman" w:eastAsia="黑体"/>
          <w:sz w:val="28"/>
          <w:szCs w:val="28"/>
        </w:rPr>
        <w:t>名词解释</w:t>
      </w:r>
      <w:r>
        <w:rPr>
          <w:sz w:val="28"/>
          <w:szCs w:val="28"/>
        </w:rPr>
        <w:tab/>
      </w:r>
      <w:r>
        <w:rPr>
          <w:sz w:val="28"/>
          <w:szCs w:val="28"/>
        </w:rPr>
        <w:fldChar w:fldCharType="begin"/>
      </w:r>
      <w:r>
        <w:rPr>
          <w:sz w:val="28"/>
          <w:szCs w:val="28"/>
        </w:rPr>
        <w:instrText xml:space="preserve"> PAGEREF _Toc110258353 \h </w:instrText>
      </w:r>
      <w:r>
        <w:rPr>
          <w:sz w:val="28"/>
          <w:szCs w:val="28"/>
        </w:rPr>
        <w:fldChar w:fldCharType="separate"/>
      </w:r>
      <w:r>
        <w:rPr>
          <w:sz w:val="28"/>
          <w:szCs w:val="28"/>
        </w:rPr>
        <w:t>24</w:t>
      </w:r>
      <w:r>
        <w:rPr>
          <w:sz w:val="28"/>
          <w:szCs w:val="28"/>
        </w:rPr>
        <w:fldChar w:fldCharType="end"/>
      </w:r>
      <w:r>
        <w:fldChar w:fldCharType="end"/>
      </w:r>
    </w:p>
    <w:p>
      <w:pPr>
        <w:spacing w:line="380" w:lineRule="exact"/>
        <w:sectPr>
          <w:pgSz w:w="11906" w:h="16838"/>
          <w:pgMar w:top="1440" w:right="1080" w:bottom="1440" w:left="1080" w:header="851" w:footer="992" w:gutter="0"/>
          <w:cols w:space="425" w:num="1"/>
          <w:docGrid w:type="lines" w:linePitch="312" w:charSpace="0"/>
        </w:sectPr>
      </w:pPr>
      <w:r>
        <w:rPr>
          <w:sz w:val="28"/>
          <w:szCs w:val="28"/>
        </w:rPr>
        <w:fldChar w:fldCharType="end"/>
      </w:r>
    </w:p>
    <w:p>
      <w:pPr>
        <w:spacing w:line="360" w:lineRule="exact"/>
        <w:rPr>
          <w:sz w:val="28"/>
          <w:szCs w:val="28"/>
        </w:rPr>
      </w:pPr>
    </w:p>
    <w:p>
      <w:pPr>
        <w:widowControl/>
        <w:rPr>
          <w:rFonts w:ascii="黑体" w:hAnsi="Times New Roman" w:eastAsia="黑体"/>
          <w:bCs/>
          <w:kern w:val="44"/>
          <w:sz w:val="84"/>
          <w:szCs w:val="84"/>
        </w:rPr>
      </w:pPr>
    </w:p>
    <w:p>
      <w:pPr>
        <w:pStyle w:val="2"/>
        <w:jc w:val="center"/>
        <w:rPr>
          <w:rFonts w:ascii="黑体" w:eastAsia="黑体"/>
          <w:b w:val="0"/>
          <w:sz w:val="72"/>
          <w:szCs w:val="84"/>
        </w:rPr>
      </w:pPr>
      <w:bookmarkStart w:id="0" w:name="_Toc16621"/>
      <w:bookmarkStart w:id="1" w:name="_Toc110258322"/>
      <w:bookmarkStart w:id="2" w:name="_Toc11341"/>
      <w:r>
        <w:rPr>
          <w:rFonts w:hint="eastAsia" w:ascii="黑体" w:eastAsia="黑体"/>
          <w:b w:val="0"/>
          <w:sz w:val="72"/>
          <w:szCs w:val="84"/>
        </w:rPr>
        <w:t>第一部分</w:t>
      </w:r>
      <w:bookmarkEnd w:id="0"/>
      <w:bookmarkEnd w:id="1"/>
      <w:bookmarkEnd w:id="2"/>
    </w:p>
    <w:p>
      <w:pPr>
        <w:pStyle w:val="2"/>
        <w:jc w:val="center"/>
        <w:rPr>
          <w:rFonts w:ascii="黑体" w:hAnsi="Times New Roman" w:eastAsia="黑体" w:cs="黑体"/>
          <w:b w:val="0"/>
          <w:sz w:val="72"/>
          <w:szCs w:val="84"/>
        </w:rPr>
      </w:pPr>
      <w:bookmarkStart w:id="3" w:name="_Toc23870"/>
      <w:bookmarkStart w:id="4" w:name="_Toc23058"/>
      <w:bookmarkStart w:id="5" w:name="_Toc110258323"/>
      <w:r>
        <w:rPr>
          <w:rFonts w:hint="eastAsia" w:ascii="黑体" w:hAnsi="Times New Roman" w:eastAsia="黑体"/>
          <w:b w:val="0"/>
          <w:sz w:val="72"/>
          <w:szCs w:val="84"/>
          <w:lang w:eastAsia="zh-CN"/>
        </w:rPr>
        <w:t>吉林</w:t>
      </w:r>
      <w:r>
        <w:rPr>
          <w:rFonts w:hint="eastAsia" w:ascii="黑体" w:hAnsi="Times New Roman" w:eastAsia="黑体"/>
          <w:b w:val="0"/>
          <w:sz w:val="72"/>
          <w:szCs w:val="84"/>
        </w:rPr>
        <w:t>省通信管理局概况</w:t>
      </w:r>
      <w:bookmarkEnd w:id="3"/>
      <w:bookmarkEnd w:id="4"/>
      <w:bookmarkEnd w:id="5"/>
    </w:p>
    <w:p>
      <w:pPr>
        <w:spacing w:line="720" w:lineRule="auto"/>
        <w:jc w:val="center"/>
        <w:rPr>
          <w:rFonts w:ascii="宋体" w:hAnsi="宋体" w:eastAsia="宋体"/>
          <w:sz w:val="72"/>
          <w:szCs w:val="72"/>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hint="eastAsia" w:ascii="宋体" w:hAnsi="宋体" w:eastAsia="宋体"/>
          <w:sz w:val="44"/>
          <w:szCs w:val="44"/>
        </w:rPr>
      </w:pPr>
    </w:p>
    <w:p>
      <w:pPr>
        <w:spacing w:line="560" w:lineRule="exact"/>
        <w:rPr>
          <w:rFonts w:ascii="宋体" w:hAnsi="宋体" w:eastAsia="宋体"/>
          <w:sz w:val="44"/>
          <w:szCs w:val="44"/>
        </w:rPr>
      </w:pPr>
    </w:p>
    <w:p>
      <w:pPr>
        <w:pStyle w:val="3"/>
        <w:spacing w:line="560" w:lineRule="exact"/>
        <w:rPr>
          <w:rFonts w:ascii="Times New Roman" w:hAnsi="Times New Roman" w:cs="黑体"/>
        </w:rPr>
      </w:pPr>
      <w:bookmarkStart w:id="6" w:name="_Toc8477"/>
      <w:bookmarkStart w:id="7" w:name="_Toc26072"/>
      <w:bookmarkStart w:id="8" w:name="_Toc29444"/>
      <w:bookmarkStart w:id="9" w:name="_Toc24443"/>
      <w:bookmarkStart w:id="10" w:name="_Toc15804"/>
      <w:bookmarkStart w:id="11" w:name="_Toc19435"/>
      <w:bookmarkStart w:id="12" w:name="_Toc30535"/>
      <w:bookmarkStart w:id="13" w:name="_Toc31249"/>
      <w:bookmarkStart w:id="14" w:name="_Toc110258324"/>
      <w:bookmarkStart w:id="15" w:name="_Toc9898"/>
      <w:bookmarkStart w:id="16" w:name="_Toc32230"/>
      <w:bookmarkStart w:id="17" w:name="_Toc12413"/>
      <w:r>
        <w:rPr>
          <w:rFonts w:hint="eastAsia" w:ascii="Times New Roman" w:hAnsi="Times New Roman" w:cs="黑体"/>
        </w:rPr>
        <w:t>一、部门职责</w:t>
      </w:r>
      <w:bookmarkEnd w:id="6"/>
      <w:bookmarkEnd w:id="7"/>
      <w:bookmarkEnd w:id="8"/>
      <w:bookmarkEnd w:id="9"/>
      <w:bookmarkEnd w:id="10"/>
      <w:bookmarkEnd w:id="11"/>
      <w:bookmarkEnd w:id="12"/>
      <w:bookmarkEnd w:id="13"/>
      <w:bookmarkEnd w:id="14"/>
      <w:bookmarkEnd w:id="15"/>
      <w:bookmarkEnd w:id="16"/>
      <w:bookmarkEnd w:id="17"/>
    </w:p>
    <w:p>
      <w:pPr>
        <w:pStyle w:val="3"/>
        <w:spacing w:line="560" w:lineRule="exact"/>
        <w:rPr>
          <w:rFonts w:hint="eastAsia" w:ascii="仿宋_GB2312" w:eastAsia="仿宋_GB2312"/>
          <w:sz w:val="32"/>
          <w:szCs w:val="32"/>
        </w:rPr>
      </w:pPr>
      <w:bookmarkStart w:id="18" w:name="_Toc110258325"/>
      <w:r>
        <w:rPr>
          <w:rFonts w:hint="eastAsia" w:ascii="仿宋_GB2312" w:eastAsia="仿宋_GB2312"/>
          <w:sz w:val="32"/>
          <w:szCs w:val="32"/>
        </w:rPr>
        <w:t>（一）贯彻执行通信行业管理政策法规，统筹规划吉林省公用通信网、互联网、专用通信网并实行行业管理；监测分析吉林省通信业运行态势并发布引导信息，协调解决行业运行发展中的有关问题；承担推动实施吉林省“三网融合”的有关工作。</w:t>
      </w:r>
    </w:p>
    <w:p>
      <w:pPr>
        <w:pStyle w:val="3"/>
        <w:spacing w:line="560" w:lineRule="exact"/>
        <w:rPr>
          <w:rFonts w:hint="eastAsia" w:ascii="仿宋_GB2312" w:eastAsia="仿宋_GB2312"/>
          <w:sz w:val="32"/>
          <w:szCs w:val="32"/>
        </w:rPr>
      </w:pPr>
      <w:r>
        <w:rPr>
          <w:rFonts w:hint="eastAsia" w:ascii="仿宋_GB2312" w:eastAsia="仿宋_GB2312"/>
          <w:sz w:val="32"/>
          <w:szCs w:val="32"/>
        </w:rPr>
        <w:t>（二）协调吉林省公用通信网、互联网、专用通信网的建设，促进资源共享；受工业和信息化部委托，负责吉林省重要通信设施建设管理；监督管理吉林省通信建设市场；指导吉林省通信业加强安全生产管理工作。</w:t>
      </w:r>
    </w:p>
    <w:p>
      <w:pPr>
        <w:pStyle w:val="3"/>
        <w:spacing w:line="560" w:lineRule="exact"/>
        <w:rPr>
          <w:rFonts w:hint="eastAsia" w:ascii="仿宋_GB2312" w:eastAsia="仿宋_GB2312"/>
          <w:sz w:val="32"/>
          <w:szCs w:val="32"/>
        </w:rPr>
      </w:pPr>
      <w:r>
        <w:rPr>
          <w:rFonts w:hint="eastAsia" w:ascii="仿宋_GB2312" w:eastAsia="仿宋_GB2312"/>
          <w:sz w:val="32"/>
          <w:szCs w:val="32"/>
        </w:rPr>
        <w:t>（三）依法监督管理吉林省电信与信息服务市场；会同有关部门监督管理电信服务资费和质量；保障普遍服务，推动行业自律；根据授权负责吉林省通信网码号、互联网域名和地址等资源的管理；监管吉林省公用通信网、互联网、专用通信网互联互通和公平接入。</w:t>
      </w:r>
    </w:p>
    <w:p>
      <w:pPr>
        <w:pStyle w:val="3"/>
        <w:spacing w:line="560" w:lineRule="exact"/>
        <w:rPr>
          <w:rFonts w:hint="eastAsia" w:ascii="仿宋_GB2312" w:eastAsia="仿宋_GB2312"/>
          <w:sz w:val="32"/>
          <w:szCs w:val="32"/>
        </w:rPr>
      </w:pPr>
      <w:r>
        <w:rPr>
          <w:rFonts w:hint="eastAsia" w:ascii="仿宋_GB2312" w:eastAsia="仿宋_GB2312"/>
          <w:sz w:val="32"/>
          <w:szCs w:val="32"/>
        </w:rPr>
        <w:t>（四）组织协调吉林省应急通信及其他重要通信保障工作；按分工承担吉林省国防通信信息动员和战备通信相关工作；管理吉林省党政专用通信工作。</w:t>
      </w:r>
    </w:p>
    <w:p>
      <w:pPr>
        <w:pStyle w:val="3"/>
        <w:spacing w:line="560" w:lineRule="exact"/>
        <w:rPr>
          <w:rFonts w:hint="eastAsia" w:ascii="仿宋_GB2312" w:eastAsia="仿宋_GB2312"/>
          <w:sz w:val="32"/>
          <w:szCs w:val="32"/>
        </w:rPr>
      </w:pPr>
      <w:r>
        <w:rPr>
          <w:rFonts w:hint="eastAsia" w:ascii="仿宋_GB2312" w:eastAsia="仿宋_GB2312"/>
          <w:sz w:val="32"/>
          <w:szCs w:val="32"/>
        </w:rPr>
        <w:t>（五）协调管理吉林省公用通信网、互联网、专用通信网网络信息安全平台；监管吉林省网络运行安全；拟订吉林省电信网络安全防护政策并组织实施；负责吉林省网络安全应急管理和处置；受工业和信息化部委托，配合开展吉林省特殊通信、网络环境和信息治理有关工作，配合处理网络有害信息；拟订吉林省通信管制措施并组织实施。</w:t>
      </w:r>
    </w:p>
    <w:p>
      <w:pPr>
        <w:pStyle w:val="3"/>
        <w:spacing w:line="560" w:lineRule="exact"/>
        <w:rPr>
          <w:rFonts w:hint="eastAsia" w:ascii="仿宋_GB2312" w:eastAsia="仿宋_GB2312"/>
          <w:sz w:val="32"/>
          <w:szCs w:val="32"/>
        </w:rPr>
      </w:pPr>
      <w:r>
        <w:rPr>
          <w:rFonts w:hint="eastAsia" w:ascii="仿宋_GB2312" w:eastAsia="仿宋_GB2312"/>
          <w:sz w:val="32"/>
          <w:szCs w:val="32"/>
        </w:rPr>
        <w:t>（六）承办工业和信息化部及中共吉林省委、吉林省人民政府交办的其他事项。</w:t>
      </w:r>
    </w:p>
    <w:p>
      <w:pPr>
        <w:pStyle w:val="3"/>
        <w:spacing w:line="560" w:lineRule="exact"/>
        <w:rPr>
          <w:rFonts w:hint="eastAsia" w:ascii="仿宋_GB2312" w:eastAsia="仿宋_GB2312"/>
          <w:sz w:val="32"/>
          <w:szCs w:val="32"/>
        </w:rPr>
      </w:pPr>
    </w:p>
    <w:p>
      <w:pPr>
        <w:pStyle w:val="3"/>
        <w:spacing w:line="560" w:lineRule="exact"/>
        <w:rPr>
          <w:rFonts w:ascii="Times New Roman" w:hAnsi="Times New Roman" w:cs="黑体"/>
        </w:rPr>
      </w:pPr>
      <w:r>
        <w:rPr>
          <w:rFonts w:hint="eastAsia" w:ascii="Times New Roman" w:hAnsi="Times New Roman" w:cs="黑体"/>
        </w:rPr>
        <w:t>二、机构设置</w:t>
      </w:r>
      <w:bookmarkEnd w:id="18"/>
    </w:p>
    <w:p>
      <w:pPr>
        <w:pStyle w:val="20"/>
        <w:widowControl/>
        <w:spacing w:beforeAutospacing="0" w:afterAutospacing="0" w:line="560" w:lineRule="exact"/>
        <w:ind w:firstLine="640" w:firstLineChars="200"/>
        <w:rPr>
          <w:rFonts w:ascii="仿宋_GB2312" w:hAnsi="宋体" w:eastAsia="仿宋_GB2312" w:cs="宋体"/>
          <w:bCs/>
          <w:color w:val="070707"/>
          <w:sz w:val="32"/>
          <w:szCs w:val="32"/>
        </w:rPr>
      </w:pPr>
      <w:r>
        <w:rPr>
          <w:rFonts w:hint="eastAsia" w:ascii="仿宋_GB2312" w:hAnsi="宋体" w:eastAsia="仿宋_GB2312" w:cs="宋体"/>
          <w:bCs/>
          <w:color w:val="070707"/>
          <w:sz w:val="32"/>
          <w:szCs w:val="32"/>
          <w:lang w:val="en-US" w:eastAsia="zh-CN"/>
        </w:rPr>
        <w:t>吉林</w:t>
      </w:r>
      <w:r>
        <w:rPr>
          <w:rFonts w:hint="eastAsia" w:ascii="仿宋_GB2312" w:hAnsi="宋体" w:eastAsia="仿宋_GB2312" w:cs="宋体"/>
          <w:bCs/>
          <w:color w:val="070707"/>
          <w:sz w:val="32"/>
          <w:szCs w:val="32"/>
        </w:rPr>
        <w:t>省通信管理局202</w:t>
      </w:r>
      <w:r>
        <w:rPr>
          <w:rFonts w:hint="eastAsia" w:ascii="仿宋_GB2312" w:hAnsi="宋体" w:eastAsia="仿宋_GB2312" w:cs="宋体"/>
          <w:bCs/>
          <w:color w:val="070707"/>
          <w:sz w:val="32"/>
          <w:szCs w:val="32"/>
          <w:lang w:val="en-US" w:eastAsia="zh-CN"/>
        </w:rPr>
        <w:t>1</w:t>
      </w:r>
      <w:r>
        <w:rPr>
          <w:rFonts w:hint="eastAsia" w:ascii="仿宋_GB2312" w:hAnsi="宋体" w:eastAsia="仿宋_GB2312" w:cs="宋体"/>
          <w:bCs/>
          <w:color w:val="070707"/>
          <w:sz w:val="32"/>
          <w:szCs w:val="32"/>
        </w:rPr>
        <w:t>年</w:t>
      </w:r>
      <w:r>
        <w:rPr>
          <w:rFonts w:hint="eastAsia" w:ascii="仿宋_GB2312" w:hAnsi="宋体" w:eastAsia="仿宋_GB2312" w:cs="宋体"/>
          <w:bCs/>
          <w:color w:val="070707"/>
          <w:sz w:val="32"/>
          <w:szCs w:val="32"/>
          <w:lang w:val="en-US" w:eastAsia="zh-CN"/>
        </w:rPr>
        <w:t>度</w:t>
      </w:r>
      <w:r>
        <w:rPr>
          <w:rFonts w:hint="eastAsia" w:ascii="仿宋_GB2312" w:hAnsi="宋体" w:eastAsia="仿宋_GB2312" w:cs="宋体"/>
          <w:bCs/>
          <w:color w:val="070707"/>
          <w:sz w:val="32"/>
          <w:szCs w:val="32"/>
        </w:rPr>
        <w:t>部门决算包括</w:t>
      </w:r>
      <w:r>
        <w:rPr>
          <w:rFonts w:hint="eastAsia" w:ascii="仿宋_GB2312" w:hAnsi="宋体" w:eastAsia="仿宋_GB2312" w:cs="宋体"/>
          <w:bCs/>
          <w:color w:val="070707"/>
          <w:sz w:val="32"/>
          <w:szCs w:val="32"/>
          <w:lang w:val="en-US" w:eastAsia="zh-CN"/>
        </w:rPr>
        <w:t>吉林</w:t>
      </w:r>
      <w:r>
        <w:rPr>
          <w:rFonts w:hint="eastAsia" w:ascii="仿宋_GB2312" w:hAnsi="宋体" w:eastAsia="仿宋_GB2312" w:cs="宋体"/>
          <w:bCs/>
          <w:color w:val="070707"/>
          <w:sz w:val="32"/>
          <w:szCs w:val="32"/>
        </w:rPr>
        <w:t>省通信管理局本级决算，共</w:t>
      </w:r>
      <w:r>
        <w:rPr>
          <w:rFonts w:hint="eastAsia" w:ascii="仿宋_GB2312" w:hAnsi="宋体" w:eastAsia="仿宋_GB2312" w:cs="宋体"/>
          <w:bCs/>
          <w:color w:val="070707"/>
          <w:sz w:val="32"/>
          <w:szCs w:val="32"/>
          <w:lang w:val="en-US" w:eastAsia="zh-CN"/>
        </w:rPr>
        <w:t>1</w:t>
      </w:r>
      <w:r>
        <w:rPr>
          <w:rFonts w:hint="eastAsia" w:ascii="仿宋_GB2312" w:hAnsi="宋体" w:eastAsia="仿宋_GB2312" w:cs="宋体"/>
          <w:bCs/>
          <w:color w:val="070707"/>
          <w:sz w:val="32"/>
          <w:szCs w:val="32"/>
        </w:rPr>
        <w:t>家。</w:t>
      </w:r>
    </w:p>
    <w:p>
      <w:pPr>
        <w:pStyle w:val="20"/>
        <w:widowControl/>
        <w:spacing w:beforeAutospacing="0" w:afterAutospacing="0" w:line="560" w:lineRule="exact"/>
        <w:rPr>
          <w:rFonts w:ascii="仿宋_GB2312" w:hAnsi="宋体" w:eastAsia="仿宋_GB2312" w:cs="宋体"/>
          <w:bCs/>
          <w:color w:val="070707"/>
          <w:sz w:val="32"/>
          <w:szCs w:val="32"/>
        </w:rPr>
      </w:pPr>
    </w:p>
    <w:p>
      <w:pPr>
        <w:pStyle w:val="20"/>
        <w:widowControl/>
        <w:spacing w:beforeAutospacing="0" w:afterAutospacing="0" w:line="560" w:lineRule="exact"/>
        <w:rPr>
          <w:rFonts w:hint="eastAsia" w:ascii="宋体" w:hAnsi="宋体" w:eastAsia="宋体" w:cs="宋体"/>
          <w:bCs/>
          <w:color w:val="070707"/>
          <w:sz w:val="72"/>
          <w:szCs w:val="72"/>
        </w:rPr>
      </w:pPr>
    </w:p>
    <w:p>
      <w:pPr>
        <w:pStyle w:val="20"/>
        <w:widowControl/>
        <w:spacing w:beforeAutospacing="0" w:afterAutospacing="0" w:line="560" w:lineRule="exact"/>
        <w:rPr>
          <w:rFonts w:ascii="宋体" w:hAnsi="宋体" w:eastAsia="宋体" w:cs="宋体"/>
          <w:bCs/>
          <w:color w:val="070707"/>
          <w:sz w:val="72"/>
          <w:szCs w:val="72"/>
        </w:rPr>
      </w:pPr>
    </w:p>
    <w:p>
      <w:pPr>
        <w:pStyle w:val="20"/>
        <w:widowControl/>
        <w:spacing w:beforeAutospacing="0" w:afterAutospacing="0" w:line="720" w:lineRule="auto"/>
        <w:jc w:val="center"/>
        <w:rPr>
          <w:rFonts w:ascii="宋体" w:hAnsi="宋体" w:eastAsia="宋体" w:cs="宋体"/>
          <w:bCs/>
          <w:color w:val="070707"/>
          <w:sz w:val="72"/>
          <w:szCs w:val="72"/>
        </w:rPr>
      </w:pPr>
    </w:p>
    <w:p>
      <w:pPr>
        <w:pStyle w:val="2"/>
        <w:tabs>
          <w:tab w:val="left" w:pos="3320"/>
          <w:tab w:val="center" w:pos="4933"/>
        </w:tabs>
        <w:jc w:val="left"/>
        <w:rPr>
          <w:rFonts w:hint="eastAsia" w:ascii="黑体" w:hAnsi="Times New Roman" w:eastAsia="黑体"/>
          <w:b w:val="0"/>
          <w:sz w:val="72"/>
          <w:szCs w:val="84"/>
          <w:lang w:eastAsia="zh-CN"/>
        </w:rPr>
      </w:pPr>
      <w:bookmarkStart w:id="19" w:name="_Toc32186"/>
      <w:bookmarkStart w:id="20" w:name="_Toc24266"/>
      <w:bookmarkStart w:id="21" w:name="_Toc23792"/>
      <w:bookmarkStart w:id="22" w:name="_Toc110258326"/>
      <w:r>
        <w:rPr>
          <w:rFonts w:hint="eastAsia" w:ascii="黑体" w:hAnsi="Times New Roman" w:eastAsia="黑体"/>
          <w:b w:val="0"/>
          <w:sz w:val="72"/>
          <w:szCs w:val="84"/>
          <w:lang w:eastAsia="zh-CN"/>
        </w:rPr>
        <w:tab/>
      </w:r>
    </w:p>
    <w:p>
      <w:pPr>
        <w:pStyle w:val="2"/>
        <w:tabs>
          <w:tab w:val="left" w:pos="3320"/>
          <w:tab w:val="center" w:pos="4933"/>
        </w:tabs>
        <w:jc w:val="left"/>
        <w:rPr>
          <w:rFonts w:hint="eastAsia" w:ascii="黑体" w:hAnsi="Times New Roman" w:eastAsia="黑体"/>
          <w:b w:val="0"/>
          <w:sz w:val="72"/>
          <w:szCs w:val="84"/>
          <w:lang w:eastAsia="zh-CN"/>
        </w:rPr>
      </w:pPr>
    </w:p>
    <w:p>
      <w:pPr>
        <w:pStyle w:val="2"/>
        <w:tabs>
          <w:tab w:val="left" w:pos="3320"/>
          <w:tab w:val="center" w:pos="4933"/>
        </w:tabs>
        <w:jc w:val="left"/>
        <w:rPr>
          <w:rFonts w:hint="eastAsia" w:ascii="黑体" w:hAnsi="Times New Roman" w:eastAsia="黑体"/>
          <w:b w:val="0"/>
          <w:sz w:val="18"/>
          <w:szCs w:val="18"/>
          <w:lang w:eastAsia="zh-CN"/>
        </w:rPr>
      </w:pPr>
    </w:p>
    <w:p>
      <w:pPr>
        <w:rPr>
          <w:rFonts w:hint="eastAsia" w:ascii="黑体" w:hAnsi="Times New Roman" w:eastAsia="黑体"/>
          <w:b w:val="0"/>
          <w:sz w:val="18"/>
          <w:szCs w:val="18"/>
          <w:lang w:eastAsia="zh-CN"/>
        </w:rPr>
      </w:pPr>
    </w:p>
    <w:p>
      <w:pPr>
        <w:rPr>
          <w:rFonts w:hint="eastAsia" w:ascii="黑体" w:hAnsi="Times New Roman" w:eastAsia="黑体"/>
          <w:b w:val="0"/>
          <w:sz w:val="18"/>
          <w:szCs w:val="18"/>
          <w:lang w:eastAsia="zh-CN"/>
        </w:rPr>
      </w:pPr>
    </w:p>
    <w:p>
      <w:pPr>
        <w:rPr>
          <w:rFonts w:hint="eastAsia" w:ascii="黑体" w:hAnsi="Times New Roman" w:eastAsia="黑体"/>
          <w:b w:val="0"/>
          <w:sz w:val="18"/>
          <w:szCs w:val="18"/>
          <w:lang w:eastAsia="zh-CN"/>
        </w:rPr>
      </w:pPr>
    </w:p>
    <w:p>
      <w:pPr>
        <w:rPr>
          <w:rFonts w:hint="eastAsia" w:ascii="黑体" w:hAnsi="Times New Roman" w:eastAsia="黑体"/>
          <w:b w:val="0"/>
          <w:sz w:val="18"/>
          <w:szCs w:val="18"/>
          <w:lang w:eastAsia="zh-CN"/>
        </w:rPr>
      </w:pPr>
    </w:p>
    <w:p>
      <w:pPr>
        <w:rPr>
          <w:rFonts w:hint="eastAsia" w:ascii="黑体" w:hAnsi="Times New Roman" w:eastAsia="黑体"/>
          <w:b w:val="0"/>
          <w:sz w:val="18"/>
          <w:szCs w:val="18"/>
          <w:lang w:eastAsia="zh-CN"/>
        </w:rPr>
      </w:pPr>
    </w:p>
    <w:p>
      <w:pPr>
        <w:pStyle w:val="2"/>
        <w:tabs>
          <w:tab w:val="left" w:pos="3320"/>
          <w:tab w:val="center" w:pos="4933"/>
        </w:tabs>
        <w:jc w:val="left"/>
        <w:rPr>
          <w:rFonts w:hint="eastAsia" w:ascii="黑体" w:hAnsi="Times New Roman" w:eastAsia="黑体"/>
          <w:b w:val="0"/>
          <w:sz w:val="72"/>
          <w:szCs w:val="84"/>
          <w:lang w:eastAsia="zh-CN"/>
        </w:rPr>
      </w:pPr>
    </w:p>
    <w:p>
      <w:pPr>
        <w:rPr>
          <w:rFonts w:hint="eastAsia"/>
          <w:lang w:eastAsia="zh-CN"/>
        </w:rPr>
      </w:pPr>
    </w:p>
    <w:p>
      <w:pPr>
        <w:pStyle w:val="2"/>
        <w:tabs>
          <w:tab w:val="left" w:pos="3320"/>
          <w:tab w:val="center" w:pos="4933"/>
        </w:tabs>
        <w:jc w:val="left"/>
        <w:rPr>
          <w:rFonts w:hint="eastAsia" w:ascii="黑体" w:hAnsi="Times New Roman" w:eastAsia="黑体"/>
          <w:b w:val="0"/>
          <w:sz w:val="72"/>
          <w:szCs w:val="84"/>
          <w:lang w:eastAsia="zh-CN"/>
        </w:rPr>
      </w:pPr>
    </w:p>
    <w:p>
      <w:pPr>
        <w:pStyle w:val="2"/>
        <w:tabs>
          <w:tab w:val="left" w:pos="3320"/>
          <w:tab w:val="center" w:pos="4933"/>
        </w:tabs>
        <w:jc w:val="left"/>
        <w:rPr>
          <w:rFonts w:hint="eastAsia" w:ascii="黑体" w:hAnsi="Times New Roman" w:eastAsia="黑体"/>
          <w:b w:val="0"/>
          <w:sz w:val="72"/>
          <w:szCs w:val="84"/>
          <w:lang w:eastAsia="zh-CN"/>
        </w:rPr>
      </w:pPr>
    </w:p>
    <w:p>
      <w:pPr>
        <w:pStyle w:val="2"/>
        <w:tabs>
          <w:tab w:val="left" w:pos="3320"/>
          <w:tab w:val="center" w:pos="4933"/>
        </w:tabs>
        <w:jc w:val="left"/>
        <w:rPr>
          <w:rFonts w:ascii="黑体" w:hAnsi="Times New Roman" w:eastAsia="黑体"/>
          <w:b w:val="0"/>
          <w:sz w:val="72"/>
          <w:szCs w:val="84"/>
        </w:rPr>
      </w:pPr>
      <w:r>
        <w:rPr>
          <w:rFonts w:hint="eastAsia" w:ascii="黑体" w:hAnsi="Times New Roman" w:eastAsia="黑体"/>
          <w:b w:val="0"/>
          <w:sz w:val="72"/>
          <w:szCs w:val="84"/>
          <w:lang w:eastAsia="zh-CN"/>
        </w:rPr>
        <w:tab/>
      </w:r>
      <w:r>
        <w:rPr>
          <w:rFonts w:hint="eastAsia" w:ascii="黑体" w:hAnsi="Times New Roman" w:eastAsia="黑体"/>
          <w:b w:val="0"/>
          <w:sz w:val="72"/>
          <w:szCs w:val="84"/>
        </w:rPr>
        <w:t>第二部分</w:t>
      </w:r>
      <w:bookmarkEnd w:id="19"/>
      <w:bookmarkEnd w:id="20"/>
      <w:bookmarkEnd w:id="21"/>
      <w:bookmarkEnd w:id="22"/>
    </w:p>
    <w:p>
      <w:pPr>
        <w:pStyle w:val="2"/>
        <w:jc w:val="center"/>
        <w:rPr>
          <w:rFonts w:ascii="黑体" w:hAnsi="Times New Roman" w:eastAsia="黑体"/>
          <w:b w:val="0"/>
          <w:sz w:val="72"/>
          <w:szCs w:val="84"/>
        </w:rPr>
      </w:pPr>
      <w:bookmarkStart w:id="23" w:name="_Toc5649"/>
      <w:bookmarkStart w:id="24" w:name="_Toc8389"/>
      <w:bookmarkStart w:id="25" w:name="_Toc110258327"/>
      <w:r>
        <w:rPr>
          <w:rFonts w:hint="eastAsia" w:ascii="黑体" w:hAnsi="Times New Roman" w:eastAsia="黑体"/>
          <w:b w:val="0"/>
          <w:sz w:val="72"/>
          <w:szCs w:val="84"/>
        </w:rPr>
        <w:t>2021年度部门决算报表</w:t>
      </w:r>
      <w:bookmarkEnd w:id="23"/>
      <w:bookmarkEnd w:id="24"/>
      <w:bookmarkEnd w:id="25"/>
    </w:p>
    <w:p>
      <w:pPr>
        <w:pStyle w:val="20"/>
        <w:widowControl/>
        <w:spacing w:beforeAutospacing="0" w:afterAutospacing="0" w:line="720" w:lineRule="auto"/>
        <w:ind w:firstLine="787" w:firstLineChars="246"/>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宋体" w:hAnsi="宋体"/>
          <w:sz w:val="22"/>
        </w:rPr>
      </w:pPr>
    </w:p>
    <w:p>
      <w:pPr>
        <w:spacing w:line="560" w:lineRule="exact"/>
        <w:rPr>
          <w:rFonts w:hint="eastAsia" w:ascii="宋体" w:hAnsi="宋体"/>
          <w:sz w:val="22"/>
        </w:rPr>
      </w:pPr>
      <w:r>
        <w:pict>
          <v:shape id="_x0000_s1068" o:spid="_x0000_s1068" o:spt="75" alt="" type="#_x0000_t75" style="position:absolute;left:0pt;margin-left:0pt;margin-top:20.25pt;height:404.75pt;width:486.65pt;mso-wrap-distance-bottom:0pt;mso-wrap-distance-left:9pt;mso-wrap-distance-right:9pt;mso-wrap-distance-top:0pt;z-index:251665408;mso-width-relative:page;mso-height-relative:page;" filled="f" o:preferrelative="t" stroked="f" coordsize="21600,21600">
            <v:path/>
            <v:fill on="f" focussize="0,0"/>
            <v:stroke on="f"/>
            <v:imagedata r:id="rId5" o:title=""/>
            <o:lock v:ext="edit" aspectratio="t"/>
            <w10:wrap type="square"/>
          </v:shape>
        </w:pict>
      </w: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69" o:spid="_x0000_s1069" o:spt="75" alt="" type="#_x0000_t75" style="position:absolute;left:0pt;margin-left:-2.25pt;margin-top:6.75pt;height:338.15pt;width:486.6pt;mso-wrap-distance-bottom:0pt;mso-wrap-distance-left:9pt;mso-wrap-distance-right:9pt;mso-wrap-distance-top:0pt;z-index:251666432;mso-width-relative:page;mso-height-relative:page;" filled="f" o:preferrelative="t" stroked="f" coordsize="21600,21600">
            <v:path/>
            <v:fill on="f" focussize="0,0"/>
            <v:stroke on="f"/>
            <v:imagedata r:id="rId6" o:title=""/>
            <o:lock v:ext="edit" aspectratio="t"/>
            <w10:wrap type="square"/>
          </v:shape>
        </w:pict>
      </w: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0" o:spid="_x0000_s1070" o:spt="75" alt="" type="#_x0000_t75" style="position:absolute;left:0pt;margin-left:0.75pt;margin-top:7.5pt;height:369.5pt;width:487pt;mso-wrap-distance-bottom:0pt;mso-wrap-distance-left:9pt;mso-wrap-distance-right:9pt;mso-wrap-distance-top:0pt;z-index:251667456;mso-width-relative:page;mso-height-relative:page;" filled="f" o:preferrelative="t" stroked="f" coordsize="21600,21600">
            <v:path/>
            <v:fill on="f" focussize="0,0"/>
            <v:stroke on="f"/>
            <v:imagedata r:id="rId7" o:title=""/>
            <o:lock v:ext="edit" aspectratio="t"/>
            <w10:wrap type="square"/>
          </v:shape>
        </w:pict>
      </w:r>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1" o:spid="_x0000_s1071" o:spt="75" alt="" type="#_x0000_t75" style="position:absolute;left:0pt;margin-left:1.5pt;margin-top:0pt;height:463.55pt;width:486.55pt;mso-wrap-distance-bottom:0pt;mso-wrap-distance-left:9pt;mso-wrap-distance-right:9pt;mso-wrap-distance-top:0pt;z-index:251668480;mso-width-relative:page;mso-height-relative:page;" filled="f" o:preferrelative="t" stroked="f" coordsize="21600,21600">
            <v:path/>
            <v:fill on="f" focussize="0,0"/>
            <v:stroke on="f"/>
            <v:imagedata r:id="rId8" o:title=""/>
            <o:lock v:ext="edit" aspectratio="t"/>
            <w10:wrap type="square"/>
          </v:shape>
        </w:pict>
      </w:r>
    </w:p>
    <w:p>
      <w:pPr>
        <w:spacing w:line="560" w:lineRule="exact"/>
        <w:rPr>
          <w:rFonts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2" o:spid="_x0000_s1072" o:spt="75" alt="" type="#_x0000_t75" style="position:absolute;left:0pt;margin-left:2.25pt;margin-top:6pt;height:419.55pt;width:487.25pt;mso-wrap-distance-bottom:0pt;mso-wrap-distance-left:9pt;mso-wrap-distance-right:9pt;mso-wrap-distance-top:0pt;z-index:251669504;mso-width-relative:page;mso-height-relative:page;" filled="f" o:preferrelative="t" stroked="f" coordsize="21600,21600">
            <v:path/>
            <v:fill on="f" focussize="0,0"/>
            <v:stroke on="f"/>
            <v:imagedata r:id="rId9" o:title=""/>
            <o:lock v:ext="edit" aspectratio="t"/>
            <w10:wrap type="square"/>
          </v:shape>
        </w:pict>
      </w: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3" o:spid="_x0000_s1073" o:spt="75" alt="" type="#_x0000_t75" style="position:absolute;left:0pt;margin-left:0.75pt;margin-top:5.25pt;height:428.45pt;width:486.7pt;mso-wrap-distance-bottom:0pt;mso-wrap-distance-left:9pt;mso-wrap-distance-right:9pt;mso-wrap-distance-top:0pt;z-index:251670528;mso-width-relative:page;mso-height-relative:page;" filled="f" o:preferrelative="t" stroked="f" coordsize="21600,21600">
            <v:path/>
            <v:fill on="f" focussize="0,0"/>
            <v:stroke on="f"/>
            <v:imagedata r:id="rId10" o:title=""/>
            <o:lock v:ext="edit" aspectratio="t"/>
            <w10:wrap type="square"/>
          </v:shape>
        </w:pict>
      </w: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4" o:spid="_x0000_s1074" o:spt="75" alt="" type="#_x0000_t75" style="position:absolute;left:0pt;margin-left:3pt;margin-top:15pt;height:227.4pt;width:486.9pt;mso-wrap-distance-bottom:0pt;mso-wrap-distance-left:9pt;mso-wrap-distance-right:9pt;mso-wrap-distance-top:0pt;z-index:251671552;mso-width-relative:page;mso-height-relative:page;" filled="f" o:preferrelative="t" stroked="f" coordsize="21600,21600">
            <v:path/>
            <v:fill on="f" focussize="0,0"/>
            <v:stroke on="f"/>
            <v:imagedata r:id="rId11" o:title=""/>
            <o:lock v:ext="edit" aspectratio="t"/>
            <w10:wrap type="square"/>
          </v:shape>
        </w:pict>
      </w: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5" o:spid="_x0000_s1075" o:spt="75" alt="" type="#_x0000_t75" style="position:absolute;left:0pt;margin-left:0.75pt;margin-top:13.5pt;height:287.45pt;width:487.25pt;mso-wrap-distance-bottom:0pt;mso-wrap-distance-left:9pt;mso-wrap-distance-right:9pt;mso-wrap-distance-top:0pt;z-index:251672576;mso-width-relative:page;mso-height-relative:page;" filled="f" o:preferrelative="t" stroked="f" coordsize="21600,21600">
            <v:path/>
            <v:fill on="f" focussize="0,0"/>
            <v:stroke on="f"/>
            <v:imagedata r:id="rId12" o:title=""/>
            <o:lock v:ext="edit" aspectratio="t"/>
            <w10:wrap type="square"/>
          </v:shape>
        </w:pict>
      </w: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6" o:spid="_x0000_s1076" o:spt="75" alt="" type="#_x0000_t75" style="position:absolute;left:0pt;margin-left:3pt;margin-top:7.5pt;height:295.15pt;width:487.3pt;mso-wrap-distance-bottom:0pt;mso-wrap-distance-left:9pt;mso-wrap-distance-right:9pt;mso-wrap-distance-top:0pt;z-index:251673600;mso-width-relative:page;mso-height-relative:page;" filled="f" o:preferrelative="t" stroked="f" coordsize="21600,21600">
            <v:path/>
            <v:fill on="f" focussize="0,0"/>
            <v:stroke on="f"/>
            <v:imagedata r:id="rId13" o:title=""/>
            <o:lock v:ext="edit" aspectratio="t"/>
            <w10:wrap type="square"/>
          </v:shape>
        </w:pict>
      </w:r>
    </w:p>
    <w:p>
      <w:pPr>
        <w:spacing w:line="560" w:lineRule="exact"/>
        <w:rPr>
          <w:rFonts w:hint="eastAsia" w:ascii="宋体" w:hAnsi="宋体"/>
          <w:sz w:val="22"/>
        </w:rPr>
      </w:pPr>
      <w:bookmarkStart w:id="57" w:name="_GoBack"/>
      <w:bookmarkEnd w:id="57"/>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ascii="宋体" w:hAnsi="宋体"/>
          <w:sz w:val="22"/>
        </w:rPr>
      </w:pPr>
    </w:p>
    <w:p>
      <w:pPr>
        <w:pStyle w:val="20"/>
        <w:widowControl/>
        <w:spacing w:beforeAutospacing="0" w:afterAutospacing="0" w:line="720" w:lineRule="auto"/>
        <w:rPr>
          <w:rFonts w:hint="eastAsia" w:ascii="宋体" w:hAnsi="宋体" w:eastAsia="宋体" w:cs="宋体"/>
          <w:bCs/>
          <w:color w:val="070707"/>
          <w:sz w:val="72"/>
          <w:szCs w:val="72"/>
        </w:rPr>
      </w:pPr>
    </w:p>
    <w:p>
      <w:pPr>
        <w:pStyle w:val="20"/>
        <w:widowControl/>
        <w:spacing w:beforeAutospacing="0" w:afterAutospacing="0" w:line="720" w:lineRule="auto"/>
        <w:jc w:val="both"/>
        <w:rPr>
          <w:rFonts w:ascii="宋体" w:hAnsi="宋体" w:eastAsia="宋体" w:cs="宋体"/>
          <w:bCs/>
          <w:color w:val="070707"/>
          <w:sz w:val="72"/>
          <w:szCs w:val="72"/>
        </w:rPr>
      </w:pPr>
    </w:p>
    <w:p>
      <w:pPr>
        <w:pStyle w:val="2"/>
        <w:jc w:val="center"/>
        <w:rPr>
          <w:rFonts w:hint="eastAsia" w:ascii="黑体" w:eastAsia="黑体"/>
          <w:b w:val="0"/>
          <w:sz w:val="72"/>
          <w:szCs w:val="84"/>
        </w:rPr>
      </w:pPr>
      <w:bookmarkStart w:id="26" w:name="_Toc110258337"/>
    </w:p>
    <w:p>
      <w:pPr>
        <w:pStyle w:val="2"/>
        <w:jc w:val="center"/>
        <w:rPr>
          <w:rFonts w:hint="eastAsia" w:ascii="黑体" w:eastAsia="黑体"/>
          <w:b w:val="0"/>
          <w:sz w:val="72"/>
          <w:szCs w:val="84"/>
        </w:rPr>
      </w:pPr>
    </w:p>
    <w:p>
      <w:pPr>
        <w:pStyle w:val="2"/>
        <w:jc w:val="center"/>
        <w:rPr>
          <w:rFonts w:hint="eastAsia" w:ascii="黑体" w:eastAsia="黑体"/>
          <w:b w:val="0"/>
          <w:sz w:val="72"/>
          <w:szCs w:val="84"/>
        </w:rPr>
      </w:pPr>
    </w:p>
    <w:p>
      <w:pPr>
        <w:pStyle w:val="2"/>
        <w:jc w:val="center"/>
        <w:rPr>
          <w:rFonts w:ascii="黑体" w:eastAsia="黑体"/>
          <w:b w:val="0"/>
          <w:sz w:val="72"/>
          <w:szCs w:val="84"/>
        </w:rPr>
      </w:pPr>
      <w:r>
        <w:rPr>
          <w:rFonts w:hint="eastAsia" w:ascii="黑体" w:eastAsia="黑体"/>
          <w:b w:val="0"/>
          <w:sz w:val="72"/>
          <w:szCs w:val="84"/>
        </w:rPr>
        <w:t>第三部分</w:t>
      </w:r>
      <w:bookmarkEnd w:id="26"/>
    </w:p>
    <w:p>
      <w:pPr>
        <w:pStyle w:val="2"/>
        <w:jc w:val="center"/>
        <w:rPr>
          <w:rFonts w:ascii="黑体" w:eastAsia="黑体"/>
          <w:b w:val="0"/>
          <w:sz w:val="72"/>
          <w:szCs w:val="84"/>
        </w:rPr>
      </w:pPr>
      <w:bookmarkStart w:id="27" w:name="_Toc110258338"/>
      <w:r>
        <w:rPr>
          <w:rFonts w:hint="eastAsia" w:ascii="黑体" w:eastAsia="黑体"/>
          <w:b w:val="0"/>
          <w:sz w:val="72"/>
          <w:szCs w:val="84"/>
        </w:rPr>
        <w:t>2021年度部门决算情况说明</w:t>
      </w:r>
      <w:bookmarkEnd w:id="27"/>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pStyle w:val="3"/>
        <w:spacing w:line="560" w:lineRule="exact"/>
        <w:ind w:left="0" w:leftChars="0" w:firstLine="0" w:firstLineChars="0"/>
        <w:rPr>
          <w:rFonts w:hint="eastAsia"/>
        </w:rPr>
      </w:pPr>
      <w:bookmarkStart w:id="28" w:name="_Toc110258339"/>
    </w:p>
    <w:p>
      <w:pPr>
        <w:pStyle w:val="3"/>
        <w:spacing w:line="560" w:lineRule="exact"/>
        <w:rPr>
          <w:rFonts w:hint="eastAsia"/>
        </w:rPr>
      </w:pPr>
    </w:p>
    <w:p>
      <w:pPr>
        <w:pStyle w:val="3"/>
        <w:spacing w:line="560" w:lineRule="exact"/>
        <w:rPr>
          <w:rFonts w:hint="eastAsia"/>
        </w:rPr>
      </w:pPr>
    </w:p>
    <w:bookmarkEnd w:id="28"/>
    <w:p>
      <w:pPr>
        <w:spacing w:line="560" w:lineRule="exact"/>
        <w:ind w:firstLine="645"/>
        <w:rPr>
          <w:rFonts w:hint="eastAsia" w:ascii="仿宋_GB2312" w:hAnsi="宋体" w:eastAsia="仿宋_GB2312"/>
          <w:sz w:val="32"/>
          <w:szCs w:val="32"/>
        </w:rPr>
      </w:pPr>
    </w:p>
    <w:p>
      <w:pPr>
        <w:spacing w:line="560" w:lineRule="exact"/>
        <w:ind w:firstLine="645"/>
        <w:rPr>
          <w:rFonts w:hint="eastAsia" w:ascii="仿宋_GB2312" w:hAnsi="宋体" w:eastAsia="仿宋_GB2312"/>
          <w:sz w:val="32"/>
          <w:szCs w:val="32"/>
        </w:rPr>
      </w:pPr>
    </w:p>
    <w:p>
      <w:pPr>
        <w:pStyle w:val="3"/>
        <w:spacing w:line="560" w:lineRule="exact"/>
        <w:ind w:left="0" w:leftChars="0" w:firstLine="640" w:firstLineChars="200"/>
      </w:pPr>
      <w:r>
        <w:rPr>
          <w:rFonts w:hint="eastAsia"/>
        </w:rPr>
        <w:t>一、收入支出决算总体情况说明</w:t>
      </w:r>
    </w:p>
    <w:p>
      <w:pPr>
        <w:spacing w:line="560" w:lineRule="exact"/>
        <w:ind w:firstLine="645"/>
        <w:rPr>
          <w:rFonts w:hint="eastAsia" w:ascii="仿宋_GB2312" w:hAnsi="宋体" w:eastAsia="仿宋_GB2312"/>
          <w:sz w:val="32"/>
          <w:szCs w:val="32"/>
        </w:rPr>
      </w:pPr>
      <w:r>
        <w:rPr>
          <w:rFonts w:hint="eastAsia" w:ascii="Times New Roman" w:hAnsi="Times New Roman" w:eastAsia="仿宋_GB2312"/>
          <w:b w:val="0"/>
          <w:bCs w:val="0"/>
          <w:color w:val="000000"/>
          <w:sz w:val="32"/>
          <w:lang w:val="en-US" w:eastAsia="zh-CN"/>
        </w:rPr>
        <w:t>2021</w:t>
      </w:r>
      <w:r>
        <w:rPr>
          <w:rFonts w:hint="eastAsia" w:ascii="仿宋_GB2312" w:hAnsi="宋体" w:eastAsia="仿宋_GB2312"/>
          <w:sz w:val="32"/>
          <w:szCs w:val="32"/>
        </w:rPr>
        <w:t>年收、支总计均为</w:t>
      </w:r>
      <w:r>
        <w:rPr>
          <w:rFonts w:hint="eastAsia" w:ascii="Times New Roman" w:hAnsi="Times New Roman" w:eastAsia="仿宋_GB2312"/>
          <w:b w:val="0"/>
          <w:bCs w:val="0"/>
          <w:color w:val="000000"/>
          <w:sz w:val="32"/>
          <w:lang w:val="en-US" w:eastAsia="zh-CN"/>
        </w:rPr>
        <w:t>4,998.02</w:t>
      </w:r>
      <w:r>
        <w:rPr>
          <w:rFonts w:hint="eastAsia" w:ascii="仿宋_GB2312" w:hAnsi="宋体" w:eastAsia="仿宋_GB2312"/>
          <w:sz w:val="32"/>
          <w:szCs w:val="32"/>
        </w:rPr>
        <w:t>万元，与</w:t>
      </w:r>
      <w:r>
        <w:rPr>
          <w:rFonts w:hint="eastAsia" w:ascii="Times New Roman" w:hAnsi="Times New Roman" w:eastAsia="仿宋_GB2312"/>
          <w:b w:val="0"/>
          <w:bCs w:val="0"/>
          <w:color w:val="000000"/>
          <w:sz w:val="32"/>
          <w:lang w:val="en-US" w:eastAsia="zh-CN"/>
        </w:rPr>
        <w:t>2020</w:t>
      </w:r>
      <w:r>
        <w:rPr>
          <w:rFonts w:hint="eastAsia" w:ascii="仿宋_GB2312" w:hAnsi="宋体" w:eastAsia="仿宋_GB2312"/>
          <w:sz w:val="32"/>
          <w:szCs w:val="32"/>
        </w:rPr>
        <w:t>年相比，收、支总</w:t>
      </w:r>
    </w:p>
    <w:p>
      <w:pPr>
        <w:spacing w:line="560" w:lineRule="exact"/>
        <w:rPr>
          <w:rFonts w:ascii="仿宋_GB2312" w:hAnsi="宋体" w:eastAsia="仿宋_GB2312"/>
          <w:sz w:val="32"/>
          <w:szCs w:val="32"/>
        </w:rPr>
      </w:pPr>
      <w:r>
        <w:rPr>
          <w:rFonts w:hint="eastAsia" w:ascii="仿宋_GB2312" w:hAnsi="宋体" w:eastAsia="仿宋_GB2312"/>
          <w:sz w:val="32"/>
          <w:szCs w:val="32"/>
        </w:rPr>
        <w:t>计各</w:t>
      </w:r>
      <w:r>
        <w:rPr>
          <w:rFonts w:hint="eastAsia" w:ascii="仿宋_GB2312" w:hAnsi="宋体" w:eastAsia="仿宋_GB2312"/>
          <w:sz w:val="32"/>
          <w:szCs w:val="32"/>
          <w:lang w:eastAsia="zh-CN"/>
        </w:rPr>
        <w:t>增加</w:t>
      </w:r>
      <w:r>
        <w:rPr>
          <w:rFonts w:hint="eastAsia" w:ascii="Times New Roman" w:hAnsi="Times New Roman" w:eastAsia="仿宋_GB2312"/>
          <w:b w:val="0"/>
          <w:bCs w:val="0"/>
          <w:color w:val="000000"/>
          <w:sz w:val="32"/>
          <w:lang w:val="en-US" w:eastAsia="zh-CN"/>
        </w:rPr>
        <w:t>570.9</w:t>
      </w:r>
      <w:r>
        <w:rPr>
          <w:rFonts w:hint="eastAsia" w:ascii="仿宋_GB2312" w:hAnsi="宋体" w:eastAsia="仿宋_GB2312"/>
          <w:sz w:val="32"/>
          <w:szCs w:val="32"/>
        </w:rPr>
        <w:t>万元，</w:t>
      </w:r>
      <w:r>
        <w:rPr>
          <w:rFonts w:hint="eastAsia" w:ascii="仿宋_GB2312" w:hAnsi="宋体" w:eastAsia="仿宋_GB2312"/>
          <w:sz w:val="32"/>
          <w:szCs w:val="32"/>
          <w:lang w:eastAsia="zh-CN"/>
        </w:rPr>
        <w:t>增长</w:t>
      </w:r>
      <w:r>
        <w:rPr>
          <w:rFonts w:hint="eastAsia" w:ascii="Times New Roman" w:hAnsi="Times New Roman" w:eastAsia="仿宋_GB2312"/>
          <w:b w:val="0"/>
          <w:bCs w:val="0"/>
          <w:color w:val="000000"/>
          <w:sz w:val="32"/>
          <w:lang w:val="en-US" w:eastAsia="zh-CN"/>
        </w:rPr>
        <w:t>12.90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中央基建投资项目支出增加</w:t>
      </w:r>
      <w:r>
        <w:rPr>
          <w:rFonts w:hint="eastAsia" w:ascii="仿宋_GB2312" w:hAnsi="宋体" w:eastAsia="仿宋_GB2312"/>
          <w:sz w:val="32"/>
          <w:szCs w:val="32"/>
        </w:rPr>
        <w:t>。</w:t>
      </w:r>
    </w:p>
    <w:p>
      <w:pPr>
        <w:spacing w:line="560" w:lineRule="exact"/>
        <w:rPr>
          <w:rFonts w:ascii="仿宋_GB2312" w:hAnsi="宋体" w:eastAsia="仿宋_GB2312"/>
          <w:sz w:val="32"/>
          <w:szCs w:val="32"/>
        </w:rPr>
      </w:pPr>
    </w:p>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图1：收、支决算总计变动情况</w:t>
      </w:r>
    </w:p>
    <w:p>
      <w:pPr>
        <w:spacing w:line="560" w:lineRule="exact"/>
        <w:jc w:val="center"/>
        <w:rPr>
          <w:rFonts w:ascii="仿宋_GB2312" w:hAnsi="宋体" w:eastAsia="仿宋_GB2312"/>
          <w:sz w:val="32"/>
          <w:szCs w:val="32"/>
        </w:rPr>
      </w:pPr>
      <w:r>
        <w:rPr>
          <w:rFonts w:hint="eastAsia" w:ascii="仿宋_GB2312" w:hAnsi="宋体" w:eastAsia="仿宋_GB2312"/>
          <w:b/>
          <w:sz w:val="28"/>
          <w:szCs w:val="32"/>
        </w:rPr>
        <w:t>（单位：万元）</w:t>
      </w:r>
    </w:p>
    <w:p>
      <w:pPr>
        <w:spacing w:line="560" w:lineRule="exact"/>
        <w:jc w:val="center"/>
        <w:rPr>
          <w:rFonts w:ascii="仿宋_GB2312" w:hAnsi="宋体" w:eastAsia="仿宋_GB2312"/>
          <w:sz w:val="32"/>
          <w:szCs w:val="32"/>
        </w:rPr>
      </w:pPr>
      <w:r>
        <w:rPr>
          <w:rFonts w:hint="eastAsia" w:ascii="仿宋_GB2312" w:hAnsi="宋体" w:eastAsia="仿宋_GB2312"/>
          <w:sz w:val="32"/>
          <w:szCs w:val="32"/>
          <w:lang w:eastAsia="zh-CN"/>
        </w:rPr>
        <w:pict>
          <v:shape id="_x0000_s1059" o:spid="_x0000_s1059" o:spt="75" type="#_x0000_t75" style="position:absolute;left:0pt;margin-left:43.4pt;margin-top:14.35pt;height:306.7pt;width:404.95pt;mso-wrap-distance-bottom:0pt;mso-wrap-distance-left:9pt;mso-wrap-distance-right:9pt;mso-wrap-distance-top:0pt;z-index:251663360;mso-width-relative:page;mso-height-relative:page;" o:ole="t" filled="f" o:preferrelative="t" stroked="f" coordsize="21600,21600">
            <v:path/>
            <v:fill on="f" focussize="0,0"/>
            <v:stroke on="f"/>
            <v:imagedata r:id="rId15" o:title=""/>
            <o:lock v:ext="edit" aspectratio="t"/>
            <w10:wrap type="square"/>
          </v:shape>
          <o:OLEObject Type="Embed" ProgID="Excel.Chart.8" ShapeID="_x0000_s1059" DrawAspect="Content" ObjectID="_1468075725" r:id="rId14">
            <o:LockedField>false</o:LockedField>
          </o:OLEObject>
        </w:pict>
      </w: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rPr>
          <w:rFonts w:ascii="黑体" w:hAnsi="宋体" w:eastAsia="黑体"/>
          <w:sz w:val="32"/>
          <w:szCs w:val="32"/>
        </w:rPr>
      </w:pPr>
    </w:p>
    <w:p>
      <w:pPr>
        <w:spacing w:line="560" w:lineRule="exact"/>
        <w:rPr>
          <w:rFonts w:ascii="黑体" w:hAnsi="宋体" w:eastAsia="黑体"/>
          <w:sz w:val="32"/>
          <w:szCs w:val="32"/>
        </w:rPr>
      </w:pPr>
    </w:p>
    <w:p>
      <w:pPr>
        <w:pStyle w:val="3"/>
        <w:spacing w:line="560" w:lineRule="exact"/>
        <w:rPr>
          <w:rFonts w:hint="eastAsia"/>
        </w:rPr>
      </w:pPr>
      <w:bookmarkStart w:id="29" w:name="_Toc110258340"/>
    </w:p>
    <w:p>
      <w:pPr>
        <w:pStyle w:val="3"/>
        <w:spacing w:line="560" w:lineRule="exact"/>
        <w:rPr>
          <w:rFonts w:hint="eastAsia"/>
        </w:rPr>
      </w:pPr>
    </w:p>
    <w:p>
      <w:pPr>
        <w:pStyle w:val="3"/>
        <w:spacing w:line="560" w:lineRule="exact"/>
        <w:ind w:left="0" w:leftChars="0" w:firstLine="640" w:firstLineChars="200"/>
      </w:pPr>
      <w:r>
        <w:rPr>
          <w:rFonts w:hint="eastAsia"/>
        </w:rPr>
        <w:t>二、收入决算情况说明</w:t>
      </w:r>
      <w:bookmarkEnd w:id="29"/>
    </w:p>
    <w:p>
      <w:pPr>
        <w:spacing w:line="560" w:lineRule="exact"/>
        <w:ind w:firstLine="645"/>
        <w:rPr>
          <w:rFonts w:ascii="仿宋_GB2312" w:hAnsi="宋体" w:eastAsia="仿宋_GB2312"/>
          <w:sz w:val="32"/>
          <w:szCs w:val="32"/>
        </w:rPr>
      </w:pPr>
      <w:r>
        <w:rPr>
          <w:rFonts w:hint="eastAsia" w:ascii="Times New Roman" w:hAnsi="Times New Roman" w:eastAsia="仿宋_GB2312"/>
          <w:b w:val="0"/>
          <w:bCs w:val="0"/>
          <w:color w:val="000000"/>
          <w:sz w:val="32"/>
          <w:lang w:val="en-US" w:eastAsia="zh-CN"/>
        </w:rPr>
        <w:t>2021</w:t>
      </w:r>
      <w:r>
        <w:rPr>
          <w:rFonts w:hint="eastAsia" w:ascii="仿宋_GB2312" w:hAnsi="宋体" w:eastAsia="仿宋_GB2312"/>
          <w:sz w:val="32"/>
          <w:szCs w:val="32"/>
        </w:rPr>
        <w:t>年度收入合计</w:t>
      </w:r>
      <w:r>
        <w:rPr>
          <w:rFonts w:hint="eastAsia" w:ascii="Times New Roman" w:hAnsi="Times New Roman" w:eastAsia="仿宋_GB2312"/>
          <w:b w:val="0"/>
          <w:bCs w:val="0"/>
          <w:color w:val="000000"/>
          <w:sz w:val="32"/>
          <w:lang w:val="en-US" w:eastAsia="zh-CN"/>
        </w:rPr>
        <w:t>1,847.64</w:t>
      </w:r>
      <w:r>
        <w:rPr>
          <w:rFonts w:hint="eastAsia" w:ascii="仿宋_GB2312" w:hAnsi="宋体" w:eastAsia="仿宋_GB2312"/>
          <w:sz w:val="32"/>
          <w:szCs w:val="32"/>
        </w:rPr>
        <w:t>万元，其中：财政拨款收入</w:t>
      </w:r>
      <w:r>
        <w:rPr>
          <w:rFonts w:hint="eastAsia" w:ascii="Times New Roman" w:hAnsi="Times New Roman" w:eastAsia="仿宋_GB2312"/>
          <w:b w:val="0"/>
          <w:bCs w:val="0"/>
          <w:color w:val="000000"/>
          <w:sz w:val="32"/>
          <w:lang w:val="en-US" w:eastAsia="zh-CN"/>
        </w:rPr>
        <w:t>1,843.97</w:t>
      </w:r>
      <w:r>
        <w:rPr>
          <w:rFonts w:hint="eastAsia" w:ascii="仿宋_GB2312" w:hAnsi="宋体" w:eastAsia="仿宋_GB2312"/>
          <w:sz w:val="32"/>
          <w:szCs w:val="32"/>
        </w:rPr>
        <w:t>万元，占</w:t>
      </w:r>
      <w:r>
        <w:rPr>
          <w:rFonts w:hint="eastAsia" w:ascii="Times New Roman" w:hAnsi="Times New Roman" w:eastAsia="仿宋_GB2312"/>
          <w:b w:val="0"/>
          <w:bCs w:val="0"/>
          <w:color w:val="000000"/>
          <w:sz w:val="32"/>
          <w:lang w:val="en-US" w:eastAsia="zh-CN"/>
        </w:rPr>
        <w:t>99.80%</w:t>
      </w:r>
      <w:r>
        <w:rPr>
          <w:rFonts w:hint="eastAsia" w:ascii="仿宋_GB2312" w:hAnsi="宋体" w:eastAsia="仿宋_GB2312"/>
          <w:sz w:val="32"/>
          <w:szCs w:val="32"/>
        </w:rPr>
        <w:t>；其他收入</w:t>
      </w:r>
      <w:r>
        <w:rPr>
          <w:rFonts w:hint="eastAsia" w:ascii="Times New Roman" w:hAnsi="Times New Roman" w:eastAsia="仿宋_GB2312"/>
          <w:b w:val="0"/>
          <w:bCs w:val="0"/>
          <w:color w:val="000000"/>
          <w:sz w:val="32"/>
          <w:lang w:val="en-US" w:eastAsia="zh-CN"/>
        </w:rPr>
        <w:t>3.67</w:t>
      </w:r>
      <w:r>
        <w:rPr>
          <w:rFonts w:hint="eastAsia" w:ascii="仿宋_GB2312" w:hAnsi="宋体" w:eastAsia="仿宋_GB2312"/>
          <w:sz w:val="32"/>
          <w:szCs w:val="32"/>
        </w:rPr>
        <w:t>万元，占</w:t>
      </w:r>
      <w:r>
        <w:rPr>
          <w:rFonts w:hint="eastAsia" w:ascii="Times New Roman" w:hAnsi="Times New Roman" w:eastAsia="仿宋_GB2312"/>
          <w:b w:val="0"/>
          <w:bCs w:val="0"/>
          <w:color w:val="000000"/>
          <w:sz w:val="32"/>
          <w:lang w:val="en-US" w:eastAsia="zh-CN"/>
        </w:rPr>
        <w:t>0.20%</w:t>
      </w:r>
      <w:r>
        <w:rPr>
          <w:rFonts w:hint="eastAsia" w:ascii="仿宋_GB2312" w:hAnsi="宋体" w:eastAsia="仿宋_GB2312"/>
          <w:sz w:val="32"/>
          <w:szCs w:val="32"/>
        </w:rPr>
        <w:t>。</w:t>
      </w:r>
    </w:p>
    <w:p>
      <w:pPr>
        <w:spacing w:line="560" w:lineRule="exact"/>
        <w:rPr>
          <w:rFonts w:hint="eastAsia"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jc w:val="center"/>
        <w:rPr>
          <w:rFonts w:hint="eastAsia" w:ascii="仿宋_GB2312" w:hAnsi="宋体" w:eastAsia="仿宋_GB2312"/>
          <w:b/>
          <w:sz w:val="32"/>
          <w:szCs w:val="32"/>
        </w:rPr>
      </w:pPr>
      <w:r>
        <w:rPr>
          <w:rFonts w:hint="eastAsia" w:ascii="仿宋_GB2312" w:hAnsi="宋体" w:eastAsia="仿宋_GB2312"/>
          <w:b/>
          <w:sz w:val="32"/>
          <w:szCs w:val="32"/>
        </w:rPr>
        <w:t>图2：收入决算</w:t>
      </w:r>
    </w:p>
    <w:p>
      <w:pPr>
        <w:pStyle w:val="3"/>
        <w:spacing w:line="560" w:lineRule="exact"/>
        <w:ind w:left="0" w:leftChars="0" w:firstLine="640" w:firstLineChars="200"/>
        <w:rPr>
          <w:rFonts w:hint="eastAsia"/>
        </w:rPr>
      </w:pPr>
      <w:bookmarkStart w:id="30" w:name="_Toc110258341"/>
      <w:r>
        <w:rPr>
          <w:rFonts w:ascii="仿宋" w:hAnsi="仿宋" w:eastAsia="仿宋"/>
          <w:sz w:val="32"/>
          <w:szCs w:val="32"/>
        </w:rPr>
        <w:pict>
          <v:shape id="_x0000_s1060" o:spid="_x0000_s1060" o:spt="75" type="#_x0000_t75" style="position:absolute;left:0pt;margin-left:19.5pt;margin-top:27.45pt;height:190.55pt;width:460.2pt;mso-wrap-distance-bottom:0pt;mso-wrap-distance-left:9pt;mso-wrap-distance-right:9pt;mso-wrap-distance-top:0pt;z-index:251664384;mso-width-relative:page;mso-height-relative:page;" o:ole="t" filled="f" o:preferrelative="t" stroked="f" coordsize="21600,21600">
            <v:path/>
            <v:fill on="f" focussize="0,0"/>
            <v:stroke on="f"/>
            <v:imagedata r:id="rId17" o:title=""/>
            <o:lock v:ext="edit" aspectratio="t"/>
            <w10:wrap type="square"/>
          </v:shape>
          <o:OLEObject Type="Embed" ProgID="MSGraph.Chart.8" ShapeID="_x0000_s1060" DrawAspect="Content" ObjectID="_1468075726" r:id="rId16">
            <o:LockedField>false</o:LockedField>
          </o:OLEObject>
        </w:pict>
      </w:r>
    </w:p>
    <w:p>
      <w:pPr>
        <w:pStyle w:val="3"/>
        <w:spacing w:line="560" w:lineRule="exact"/>
        <w:ind w:left="0" w:leftChars="0" w:firstLine="640" w:firstLineChars="200"/>
      </w:pPr>
      <w:r>
        <w:rPr>
          <w:rFonts w:hint="eastAsia"/>
        </w:rPr>
        <w:t>三、支出决算情况说明</w:t>
      </w:r>
      <w:bookmarkEnd w:id="30"/>
    </w:p>
    <w:p>
      <w:pPr>
        <w:spacing w:line="560" w:lineRule="exact"/>
        <w:ind w:firstLine="645"/>
        <w:rPr>
          <w:rFonts w:hint="eastAsia" w:ascii="仿宋_GB2312" w:hAnsi="宋体" w:eastAsia="仿宋_GB2312"/>
          <w:sz w:val="32"/>
          <w:szCs w:val="32"/>
          <w:lang w:val="en-US" w:eastAsia="zh-CN"/>
        </w:rPr>
      </w:pPr>
      <w:r>
        <w:rPr>
          <w:rFonts w:hint="eastAsia" w:ascii="Times New Roman" w:hAnsi="Times New Roman" w:eastAsia="仿宋_GB2312"/>
          <w:b w:val="0"/>
          <w:bCs w:val="0"/>
          <w:color w:val="000000"/>
          <w:sz w:val="32"/>
          <w:lang w:val="en-US" w:eastAsia="zh-CN"/>
        </w:rPr>
        <w:t>2021</w:t>
      </w:r>
      <w:r>
        <w:rPr>
          <w:rFonts w:hint="eastAsia" w:ascii="仿宋_GB2312" w:hAnsi="宋体" w:eastAsia="仿宋_GB2312"/>
          <w:sz w:val="32"/>
          <w:szCs w:val="32"/>
        </w:rPr>
        <w:t>年度支出合计</w:t>
      </w:r>
      <w:r>
        <w:rPr>
          <w:rFonts w:hint="eastAsia" w:ascii="Times New Roman" w:hAnsi="Times New Roman" w:eastAsia="仿宋_GB2312"/>
          <w:b w:val="0"/>
          <w:bCs w:val="0"/>
          <w:color w:val="000000"/>
          <w:sz w:val="32"/>
          <w:lang w:val="en-US" w:eastAsia="zh-CN"/>
        </w:rPr>
        <w:t>2,209.99</w:t>
      </w:r>
      <w:r>
        <w:rPr>
          <w:rFonts w:hint="eastAsia" w:ascii="仿宋_GB2312" w:hAnsi="宋体" w:eastAsia="仿宋_GB2312"/>
          <w:sz w:val="32"/>
          <w:szCs w:val="32"/>
        </w:rPr>
        <w:t>万元，其中：基本支出</w:t>
      </w:r>
      <w:r>
        <w:rPr>
          <w:rFonts w:hint="eastAsia" w:ascii="Times New Roman" w:hAnsi="Times New Roman" w:eastAsia="仿宋_GB2312"/>
          <w:b w:val="0"/>
          <w:bCs w:val="0"/>
          <w:color w:val="000000"/>
          <w:sz w:val="32"/>
          <w:lang w:val="en-US" w:eastAsia="zh-CN"/>
        </w:rPr>
        <w:t>479.75</w:t>
      </w:r>
      <w:r>
        <w:rPr>
          <w:rFonts w:hint="eastAsia" w:ascii="仿宋_GB2312" w:hAnsi="宋体" w:eastAsia="仿宋_GB2312"/>
          <w:sz w:val="32"/>
          <w:szCs w:val="32"/>
        </w:rPr>
        <w:t>万元，占</w:t>
      </w:r>
      <w:r>
        <w:rPr>
          <w:rFonts w:hint="eastAsia" w:ascii="Times New Roman" w:hAnsi="Times New Roman" w:eastAsia="仿宋_GB2312"/>
          <w:b w:val="0"/>
          <w:bCs w:val="0"/>
          <w:color w:val="000000"/>
          <w:sz w:val="32"/>
          <w:lang w:val="en-US" w:eastAsia="zh-CN"/>
        </w:rPr>
        <w:t>21.71%</w:t>
      </w:r>
      <w:r>
        <w:rPr>
          <w:rFonts w:hint="eastAsia" w:ascii="仿宋_GB2312" w:hAnsi="宋体" w:eastAsia="仿宋_GB2312"/>
          <w:sz w:val="32"/>
          <w:szCs w:val="32"/>
        </w:rPr>
        <w:t>；项目支出</w:t>
      </w:r>
      <w:r>
        <w:rPr>
          <w:rFonts w:hint="eastAsia" w:ascii="Times New Roman" w:hAnsi="Times New Roman" w:eastAsia="仿宋_GB2312"/>
          <w:b w:val="0"/>
          <w:bCs w:val="0"/>
          <w:color w:val="000000"/>
          <w:sz w:val="32"/>
          <w:lang w:val="en-US" w:eastAsia="zh-CN"/>
        </w:rPr>
        <w:t>1,730.24</w:t>
      </w:r>
      <w:r>
        <w:rPr>
          <w:rFonts w:hint="eastAsia" w:ascii="仿宋_GB2312" w:hAnsi="宋体" w:eastAsia="仿宋_GB2312"/>
          <w:sz w:val="32"/>
          <w:szCs w:val="32"/>
        </w:rPr>
        <w:t>万元，占</w:t>
      </w:r>
      <w:r>
        <w:rPr>
          <w:rFonts w:hint="eastAsia" w:ascii="Times New Roman" w:hAnsi="Times New Roman" w:eastAsia="仿宋_GB2312"/>
          <w:b w:val="0"/>
          <w:bCs w:val="0"/>
          <w:color w:val="000000"/>
          <w:sz w:val="32"/>
          <w:lang w:val="en-US" w:eastAsia="zh-CN"/>
        </w:rPr>
        <w:t>78.29%</w:t>
      </w:r>
      <w:r>
        <w:rPr>
          <w:rFonts w:hint="eastAsia" w:ascii="仿宋_GB2312" w:hAnsi="宋体" w:eastAsia="仿宋_GB2312"/>
          <w:sz w:val="32"/>
          <w:szCs w:val="32"/>
          <w:lang w:eastAsia="zh-CN"/>
        </w:rPr>
        <w:t>。</w:t>
      </w:r>
    </w:p>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图3：支出决算</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ascii="仿宋" w:hAnsi="仿宋" w:eastAsia="仿宋"/>
          <w:bCs/>
          <w:sz w:val="32"/>
          <w:szCs w:val="32"/>
        </w:rPr>
        <w:pict>
          <v:shape id="_x0000_s1058" o:spid="_x0000_s1058" o:spt="75" type="#_x0000_t75" style="position:absolute;left:0pt;margin-left:47.4pt;margin-top:20.6pt;height:220.6pt;width:379.25pt;mso-wrap-distance-bottom:0pt;mso-wrap-distance-left:9pt;mso-wrap-distance-right:9pt;mso-wrap-distance-top:0pt;z-index:251662336;mso-width-relative:page;mso-height-relative:page;" o:ole="t" filled="f" o:preferrelative="t" stroked="f" coordsize="21600,21600">
            <v:path/>
            <v:fill on="f" focussize="0,0"/>
            <v:stroke on="f"/>
            <v:imagedata r:id="rId19" o:title=""/>
            <o:lock v:ext="edit" aspectratio="t"/>
            <w10:wrap type="square"/>
          </v:shape>
          <o:OLEObject Type="Embed" ProgID="MSGraph.Chart.8" ShapeID="_x0000_s1058" DrawAspect="Content" ObjectID="_1468075727" r:id="rId18">
            <o:LockedField>false</o:LockedField>
          </o:OLEObject>
        </w:pict>
      </w:r>
      <w:r>
        <w:rPr>
          <w:rFonts w:ascii="仿宋" w:hAnsi="仿宋" w:eastAsia="仿宋"/>
          <w:bCs/>
          <w:sz w:val="32"/>
          <w:szCs w:val="32"/>
        </w:rPr>
        <w:object>
          <v:shape id="_x0000_i1025" o:spt="75" type="#_x0000_t75" style="height:178.85pt;width:423.5pt;" o:ole="t" filled="f" o:preferrelative="t" stroked="f" coordsize="21600,21600">
            <v:path/>
            <v:fill on="f" focussize="0,0"/>
            <v:stroke on="f"/>
            <v:imagedata r:id="rId21" o:title=""/>
            <o:lock v:ext="edit" aspectratio="t"/>
            <w10:wrap type="none"/>
            <w10:anchorlock/>
          </v:shape>
          <o:OLEObject Type="Embed" ProgID="MSGraph.Chart.8" ShapeID="_x0000_i1025" DrawAspect="Content" ObjectID="_1468075728" r:id="rId20">
            <o:LockedField>false</o:LockedField>
          </o:OLEObject>
        </w:object>
      </w:r>
    </w:p>
    <w:p>
      <w:pPr>
        <w:pStyle w:val="3"/>
        <w:spacing w:line="560" w:lineRule="exact"/>
        <w:ind w:left="0" w:leftChars="0" w:firstLine="640" w:firstLineChars="200"/>
      </w:pPr>
      <w:bookmarkStart w:id="31" w:name="_Toc110258342"/>
      <w:r>
        <w:rPr>
          <w:rFonts w:hint="eastAsia"/>
        </w:rPr>
        <w:t>四、财政拨款收入支出决算总体情况说明</w:t>
      </w:r>
      <w:bookmarkEnd w:id="31"/>
    </w:p>
    <w:p>
      <w:pPr>
        <w:spacing w:line="560" w:lineRule="exact"/>
        <w:ind w:firstLine="645"/>
        <w:rPr>
          <w:rFonts w:hint="eastAsia" w:ascii="仿宋_GB2312" w:hAnsi="宋体" w:eastAsia="仿宋_GB2312"/>
          <w:b/>
          <w:sz w:val="32"/>
          <w:szCs w:val="32"/>
        </w:rPr>
      </w:pPr>
      <w:r>
        <w:rPr>
          <w:rFonts w:hint="eastAsia" w:ascii="Times New Roman" w:hAnsi="Times New Roman" w:eastAsia="仿宋_GB2312"/>
          <w:b w:val="0"/>
          <w:bCs w:val="0"/>
          <w:color w:val="000000"/>
          <w:sz w:val="32"/>
          <w:lang w:val="en-US" w:eastAsia="zh-CN"/>
        </w:rPr>
        <w:t>2021</w:t>
      </w:r>
      <w:r>
        <w:rPr>
          <w:rFonts w:hint="eastAsia" w:ascii="仿宋_GB2312" w:hAnsi="宋体" w:eastAsia="仿宋_GB2312"/>
          <w:sz w:val="32"/>
          <w:szCs w:val="32"/>
        </w:rPr>
        <w:t>年度财政拨款收、支总计均为</w:t>
      </w:r>
      <w:r>
        <w:rPr>
          <w:rFonts w:hint="eastAsia" w:ascii="Times New Roman" w:hAnsi="Times New Roman" w:eastAsia="仿宋_GB2312"/>
          <w:b w:val="0"/>
          <w:bCs w:val="0"/>
          <w:color w:val="000000"/>
          <w:sz w:val="32"/>
          <w:lang w:val="en-US" w:eastAsia="zh-CN"/>
        </w:rPr>
        <w:t>2,988.58</w:t>
      </w:r>
      <w:r>
        <w:rPr>
          <w:rFonts w:hint="eastAsia" w:ascii="仿宋_GB2312" w:hAnsi="宋体" w:eastAsia="仿宋_GB2312"/>
          <w:sz w:val="32"/>
          <w:szCs w:val="32"/>
        </w:rPr>
        <w:t>万元。与</w:t>
      </w:r>
      <w:r>
        <w:rPr>
          <w:rFonts w:hint="eastAsia" w:ascii="Times New Roman" w:hAnsi="Times New Roman" w:eastAsia="仿宋_GB2312"/>
          <w:b w:val="0"/>
          <w:bCs w:val="0"/>
          <w:color w:val="000000"/>
          <w:sz w:val="32"/>
          <w:lang w:val="en-US" w:eastAsia="zh-CN"/>
        </w:rPr>
        <w:t>2020</w:t>
      </w:r>
      <w:r>
        <w:rPr>
          <w:rFonts w:hint="eastAsia" w:ascii="仿宋_GB2312" w:hAnsi="宋体" w:eastAsia="仿宋_GB2312"/>
          <w:sz w:val="32"/>
          <w:szCs w:val="32"/>
        </w:rPr>
        <w:t>年相比，财政拨款收、支总计各增加</w:t>
      </w:r>
      <w:r>
        <w:rPr>
          <w:rFonts w:hint="eastAsia" w:ascii="Times New Roman" w:hAnsi="Times New Roman" w:eastAsia="仿宋_GB2312"/>
          <w:b w:val="0"/>
          <w:bCs w:val="0"/>
          <w:color w:val="000000"/>
          <w:sz w:val="32"/>
          <w:lang w:val="en-US" w:eastAsia="zh-CN"/>
        </w:rPr>
        <w:t>888.38</w:t>
      </w:r>
      <w:r>
        <w:rPr>
          <w:rFonts w:hint="eastAsia" w:ascii="仿宋_GB2312" w:hAnsi="宋体" w:eastAsia="仿宋_GB2312"/>
          <w:sz w:val="32"/>
          <w:szCs w:val="32"/>
        </w:rPr>
        <w:t>万元，增长</w:t>
      </w:r>
      <w:r>
        <w:rPr>
          <w:rFonts w:hint="eastAsia" w:ascii="Times New Roman" w:hAnsi="Times New Roman" w:eastAsia="仿宋_GB2312"/>
          <w:b w:val="0"/>
          <w:bCs w:val="0"/>
          <w:color w:val="000000"/>
          <w:sz w:val="32"/>
          <w:lang w:val="en-US" w:eastAsia="zh-CN"/>
        </w:rPr>
        <w:t>42.30</w:t>
      </w:r>
      <w:r>
        <w:rPr>
          <w:rFonts w:hint="eastAsia" w:ascii="仿宋_GB2312" w:hAnsi="宋体" w:eastAsia="仿宋_GB2312"/>
          <w:sz w:val="32"/>
          <w:szCs w:val="32"/>
        </w:rPr>
        <w:t>%。主要是</w:t>
      </w:r>
      <w:r>
        <w:rPr>
          <w:rFonts w:hint="eastAsia" w:ascii="仿宋_GB2312" w:hAnsi="宋体" w:eastAsia="仿宋_GB2312"/>
          <w:sz w:val="32"/>
          <w:szCs w:val="32"/>
          <w:lang w:eastAsia="zh-CN"/>
        </w:rPr>
        <w:t>中央基建投资项目</w:t>
      </w:r>
      <w:r>
        <w:rPr>
          <w:rFonts w:hint="eastAsia" w:ascii="仿宋_GB2312" w:hAnsi="宋体" w:eastAsia="仿宋_GB2312"/>
          <w:sz w:val="32"/>
          <w:szCs w:val="32"/>
        </w:rPr>
        <w:t>结转增加。</w:t>
      </w:r>
    </w:p>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图4：财政拨款收、支决算总计变动情况</w:t>
      </w:r>
    </w:p>
    <w:p>
      <w:pPr>
        <w:spacing w:line="560" w:lineRule="exact"/>
        <w:jc w:val="center"/>
        <w:rPr>
          <w:rFonts w:ascii="仿宋_GB2312" w:hAnsi="宋体" w:eastAsia="仿宋_GB2312"/>
          <w:b/>
          <w:sz w:val="28"/>
          <w:szCs w:val="32"/>
        </w:rPr>
      </w:pPr>
      <w:r>
        <w:rPr>
          <w:rFonts w:hint="eastAsia" w:ascii="仿宋_GB2312" w:hAnsi="宋体" w:eastAsia="仿宋_GB2312"/>
          <w:b/>
          <w:sz w:val="28"/>
          <w:szCs w:val="32"/>
        </w:rPr>
        <w:t>（单位：万元）</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lang w:eastAsia="zh-CN"/>
        </w:rPr>
        <w:pict>
          <v:shape id="_x0000_s1057" o:spid="_x0000_s1057" o:spt="75" type="#_x0000_t75" style="position:absolute;left:0pt;margin-left:36.45pt;margin-top:5.3pt;height:306.7pt;width:404.95pt;mso-wrap-distance-bottom:0pt;mso-wrap-distance-left:9pt;mso-wrap-distance-right:9pt;mso-wrap-distance-top:0pt;z-index:251661312;mso-width-relative:page;mso-height-relative:page;" o:ole="t" filled="f" o:preferrelative="t" stroked="f" coordsize="21600,21600">
            <v:path/>
            <v:fill on="f" focussize="0,0"/>
            <v:stroke on="f"/>
            <v:imagedata r:id="rId23" o:title=""/>
            <o:lock v:ext="edit" aspectratio="t"/>
            <w10:wrap type="square"/>
          </v:shape>
          <o:OLEObject Type="Embed" ProgID="Excel.Chart.8" ShapeID="_x0000_s1057" DrawAspect="Content" ObjectID="_1468075729" r:id="rId22">
            <o:LockedField>false</o:LockedField>
          </o:OLEObject>
        </w:pict>
      </w: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142"/>
        <w:rPr>
          <w:rFonts w:ascii="仿宋_GB2312" w:hAnsi="宋体" w:eastAsia="仿宋_GB2312"/>
          <w:sz w:val="32"/>
          <w:szCs w:val="32"/>
        </w:rPr>
      </w:pPr>
    </w:p>
    <w:p>
      <w:pPr>
        <w:spacing w:line="560" w:lineRule="exact"/>
        <w:ind w:firstLine="142"/>
        <w:rPr>
          <w:rFonts w:ascii="仿宋_GB2312" w:hAnsi="宋体" w:eastAsia="仿宋_GB2312"/>
          <w:sz w:val="32"/>
          <w:szCs w:val="32"/>
        </w:rPr>
      </w:pPr>
    </w:p>
    <w:p>
      <w:pPr>
        <w:pStyle w:val="3"/>
        <w:spacing w:line="560" w:lineRule="exact"/>
        <w:rPr>
          <w:rFonts w:hint="eastAsia"/>
        </w:rPr>
      </w:pPr>
      <w:bookmarkStart w:id="32" w:name="_Toc110258343"/>
    </w:p>
    <w:p>
      <w:pPr>
        <w:pStyle w:val="3"/>
        <w:spacing w:line="560" w:lineRule="exact"/>
      </w:pPr>
      <w:r>
        <w:rPr>
          <w:rFonts w:hint="eastAsia"/>
        </w:rPr>
        <w:t>五、一般公共预算财政拨款支出决算情况说明</w:t>
      </w:r>
      <w:bookmarkEnd w:id="32"/>
    </w:p>
    <w:p>
      <w:pPr>
        <w:pStyle w:val="3"/>
        <w:spacing w:line="560" w:lineRule="exact"/>
        <w:rPr>
          <w:rFonts w:ascii="楷体_GB2312" w:eastAsia="楷体_GB2312"/>
        </w:rPr>
      </w:pPr>
      <w:bookmarkStart w:id="33" w:name="_Toc110258344"/>
      <w:r>
        <w:rPr>
          <w:rFonts w:hint="eastAsia" w:ascii="楷体_GB2312" w:eastAsia="楷体_GB2312"/>
        </w:rPr>
        <w:t>（一）财政拨款支出决算总体情况</w:t>
      </w:r>
      <w:bookmarkEnd w:id="33"/>
    </w:p>
    <w:p>
      <w:pPr>
        <w:spacing w:line="560" w:lineRule="exact"/>
        <w:ind w:firstLine="645"/>
        <w:rPr>
          <w:rFonts w:hint="eastAsia" w:ascii="仿宋_GB2312" w:hAnsi="宋体" w:eastAsia="仿宋_GB2312"/>
          <w:b/>
          <w:sz w:val="32"/>
          <w:szCs w:val="32"/>
        </w:rPr>
      </w:pPr>
      <w:r>
        <w:rPr>
          <w:rFonts w:hint="eastAsia" w:ascii="Times New Roman" w:hAnsi="Times New Roman" w:eastAsia="仿宋_GB2312"/>
          <w:color w:val="000000"/>
          <w:sz w:val="32"/>
          <w:lang w:val="en-US" w:eastAsia="zh-CN"/>
        </w:rPr>
        <w:t>2021</w:t>
      </w:r>
      <w:r>
        <w:rPr>
          <w:rFonts w:hint="eastAsia" w:ascii="仿宋_GB2312" w:hAnsi="宋体" w:eastAsia="仿宋_GB2312"/>
          <w:sz w:val="32"/>
          <w:szCs w:val="32"/>
        </w:rPr>
        <w:t>年度财政拨款支出</w:t>
      </w:r>
      <w:r>
        <w:rPr>
          <w:rFonts w:hint="eastAsia" w:ascii="Times New Roman" w:hAnsi="Times New Roman" w:eastAsia="仿宋_GB2312"/>
          <w:color w:val="000000"/>
          <w:sz w:val="32"/>
          <w:lang w:val="en-US" w:eastAsia="zh-CN"/>
        </w:rPr>
        <w:t>1,838.96</w:t>
      </w:r>
      <w:r>
        <w:rPr>
          <w:rFonts w:hint="eastAsia" w:ascii="仿宋_GB2312" w:hAnsi="宋体" w:eastAsia="仿宋_GB2312"/>
          <w:sz w:val="32"/>
          <w:szCs w:val="32"/>
        </w:rPr>
        <w:t>万元，占本年支出合计的</w:t>
      </w:r>
      <w:r>
        <w:rPr>
          <w:rFonts w:hint="eastAsia" w:ascii="Times New Roman" w:hAnsi="Times New Roman" w:eastAsia="仿宋_GB2312"/>
          <w:color w:val="000000"/>
          <w:sz w:val="32"/>
          <w:lang w:val="en-US" w:eastAsia="zh-CN"/>
        </w:rPr>
        <w:t>83.21</w:t>
      </w:r>
      <w:r>
        <w:rPr>
          <w:rFonts w:hint="eastAsia" w:ascii="仿宋_GB2312" w:hAnsi="宋体" w:eastAsia="仿宋_GB2312"/>
          <w:sz w:val="32"/>
          <w:szCs w:val="32"/>
        </w:rPr>
        <w:t>%。与</w:t>
      </w:r>
      <w:r>
        <w:rPr>
          <w:rFonts w:hint="eastAsia" w:ascii="Times New Roman" w:hAnsi="Times New Roman" w:eastAsia="仿宋_GB2312"/>
          <w:color w:val="000000"/>
          <w:sz w:val="32"/>
          <w:lang w:val="en-US" w:eastAsia="zh-CN"/>
        </w:rPr>
        <w:t>2020</w:t>
      </w:r>
      <w:r>
        <w:rPr>
          <w:rFonts w:hint="eastAsia" w:ascii="仿宋_GB2312" w:hAnsi="宋体" w:eastAsia="仿宋_GB2312"/>
          <w:sz w:val="32"/>
          <w:szCs w:val="32"/>
        </w:rPr>
        <w:t>年相比，财政拨款</w:t>
      </w:r>
      <w:r>
        <w:rPr>
          <w:rFonts w:hint="eastAsia" w:ascii="仿宋_GB2312" w:hAnsi="宋体" w:eastAsia="仿宋_GB2312"/>
          <w:sz w:val="32"/>
          <w:szCs w:val="32"/>
          <w:lang w:eastAsia="zh-CN"/>
        </w:rPr>
        <w:t>支出增加</w:t>
      </w:r>
      <w:r>
        <w:rPr>
          <w:rFonts w:hint="eastAsia" w:ascii="Times New Roman" w:hAnsi="Times New Roman" w:eastAsia="仿宋_GB2312"/>
          <w:color w:val="000000"/>
          <w:sz w:val="32"/>
          <w:lang w:val="en-US" w:eastAsia="zh-CN"/>
        </w:rPr>
        <w:t>879.96</w:t>
      </w:r>
      <w:r>
        <w:rPr>
          <w:rFonts w:hint="eastAsia" w:ascii="仿宋_GB2312" w:hAnsi="宋体" w:eastAsia="仿宋_GB2312"/>
          <w:sz w:val="32"/>
          <w:szCs w:val="32"/>
        </w:rPr>
        <w:t>万元，</w:t>
      </w:r>
      <w:r>
        <w:rPr>
          <w:rFonts w:hint="eastAsia" w:ascii="仿宋_GB2312" w:hAnsi="宋体" w:eastAsia="仿宋_GB2312"/>
          <w:sz w:val="32"/>
          <w:szCs w:val="32"/>
          <w:lang w:eastAsia="zh-CN"/>
        </w:rPr>
        <w:t>增长</w:t>
      </w:r>
      <w:r>
        <w:rPr>
          <w:rFonts w:hint="eastAsia" w:ascii="Times New Roman" w:hAnsi="Times New Roman" w:eastAsia="仿宋_GB2312"/>
          <w:color w:val="000000"/>
          <w:sz w:val="32"/>
          <w:lang w:val="en-US" w:eastAsia="zh-CN"/>
        </w:rPr>
        <w:t>91.75</w:t>
      </w:r>
      <w:r>
        <w:rPr>
          <w:rFonts w:hint="eastAsia" w:ascii="仿宋_GB2312" w:hAnsi="宋体" w:eastAsia="仿宋_GB2312"/>
          <w:sz w:val="32"/>
          <w:szCs w:val="32"/>
        </w:rPr>
        <w:t>%。主要是</w:t>
      </w:r>
      <w:r>
        <w:rPr>
          <w:rFonts w:hint="eastAsia" w:ascii="仿宋_GB2312" w:hAnsi="宋体" w:eastAsia="仿宋_GB2312"/>
          <w:sz w:val="32"/>
          <w:szCs w:val="32"/>
          <w:lang w:eastAsia="zh-CN"/>
        </w:rPr>
        <w:t>中央基建投资项目</w:t>
      </w:r>
      <w:r>
        <w:rPr>
          <w:rFonts w:hint="eastAsia" w:ascii="仿宋_GB2312" w:hAnsi="宋体" w:eastAsia="仿宋_GB2312"/>
          <w:sz w:val="32"/>
          <w:szCs w:val="32"/>
        </w:rPr>
        <w:t>支出</w:t>
      </w:r>
      <w:r>
        <w:rPr>
          <w:rFonts w:hint="eastAsia" w:ascii="仿宋_GB2312" w:hAnsi="宋体" w:eastAsia="仿宋_GB2312"/>
          <w:sz w:val="32"/>
          <w:szCs w:val="32"/>
          <w:lang w:eastAsia="zh-CN"/>
        </w:rPr>
        <w:t>增加</w:t>
      </w:r>
      <w:r>
        <w:rPr>
          <w:rFonts w:hint="eastAsia" w:ascii="仿宋_GB2312" w:hAnsi="宋体" w:eastAsia="仿宋_GB2312"/>
          <w:sz w:val="32"/>
          <w:szCs w:val="32"/>
        </w:rPr>
        <w:t>。</w:t>
      </w:r>
    </w:p>
    <w:p>
      <w:pPr>
        <w:spacing w:line="560" w:lineRule="exact"/>
        <w:jc w:val="center"/>
        <w:rPr>
          <w:rFonts w:hint="eastAsia" w:ascii="仿宋_GB2312" w:hAnsi="宋体" w:eastAsia="仿宋_GB2312"/>
          <w:b/>
          <w:sz w:val="32"/>
          <w:szCs w:val="32"/>
        </w:rPr>
      </w:pPr>
    </w:p>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图5：财政拨款支出决算变动情况</w:t>
      </w:r>
    </w:p>
    <w:p>
      <w:pPr>
        <w:spacing w:line="560" w:lineRule="exact"/>
        <w:jc w:val="center"/>
        <w:rPr>
          <w:rFonts w:ascii="仿宋_GB2312" w:hAnsi="宋体" w:eastAsia="仿宋_GB2312"/>
          <w:b/>
          <w:sz w:val="28"/>
          <w:szCs w:val="32"/>
        </w:rPr>
      </w:pPr>
      <w:r>
        <w:rPr>
          <w:rFonts w:hint="eastAsia" w:ascii="仿宋_GB2312" w:hAnsi="宋体" w:eastAsia="仿宋_GB2312"/>
          <w:b/>
          <w:sz w:val="28"/>
          <w:szCs w:val="32"/>
        </w:rPr>
        <w:t>（单位：万元）</w:t>
      </w:r>
    </w:p>
    <w:p>
      <w:pPr>
        <w:spacing w:line="560" w:lineRule="exact"/>
        <w:ind w:firstLine="645"/>
        <w:rPr>
          <w:rFonts w:hint="eastAsia" w:ascii="仿宋_GB2312" w:hAnsi="宋体" w:eastAsia="仿宋_GB2312"/>
          <w:sz w:val="32"/>
          <w:szCs w:val="32"/>
          <w:lang w:eastAsia="zh-CN"/>
        </w:rPr>
      </w:pPr>
      <w:r>
        <w:rPr>
          <w:rFonts w:hint="eastAsia" w:ascii="仿宋_GB2312" w:hAnsi="宋体" w:eastAsia="仿宋_GB2312"/>
          <w:sz w:val="32"/>
          <w:szCs w:val="32"/>
          <w:lang w:eastAsia="zh-CN"/>
        </w:rPr>
        <w:pict>
          <v:shape id="_x0000_s1054" o:spid="_x0000_s1054" o:spt="75" type="#_x0000_t75" style="position:absolute;left:0pt;margin-left:53.15pt;margin-top:16.5pt;height:306.7pt;width:390.5pt;mso-wrap-distance-bottom:0pt;mso-wrap-distance-left:9pt;mso-wrap-distance-right:9pt;mso-wrap-distance-top:0pt;z-index:251659264;mso-width-relative:page;mso-height-relative:page;" o:ole="t" filled="f" o:preferrelative="t" stroked="f" coordsize="21600,21600">
            <v:path/>
            <v:fill on="f" focussize="0,0"/>
            <v:stroke on="f"/>
            <v:imagedata r:id="rId25" o:title=""/>
            <o:lock v:ext="edit" aspectratio="t"/>
            <w10:wrap type="square"/>
          </v:shape>
          <o:OLEObject Type="Embed" ProgID="Excel.Chart.8" ShapeID="_x0000_s1054" DrawAspect="Content" ObjectID="_1468075730" r:id="rId24">
            <o:LockedField>false</o:LockedField>
          </o:OLEObject>
        </w:pict>
      </w: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pStyle w:val="3"/>
        <w:spacing w:line="560" w:lineRule="exact"/>
        <w:rPr>
          <w:rFonts w:hint="eastAsia" w:ascii="楷体_GB2312" w:eastAsia="楷体_GB2312"/>
        </w:rPr>
      </w:pPr>
      <w:bookmarkStart w:id="34" w:name="_Toc110258345"/>
    </w:p>
    <w:p>
      <w:pPr>
        <w:pStyle w:val="3"/>
        <w:spacing w:line="560" w:lineRule="exact"/>
        <w:ind w:left="0" w:leftChars="0" w:firstLine="0" w:firstLineChars="0"/>
        <w:rPr>
          <w:rFonts w:hint="eastAsia" w:ascii="楷体_GB2312" w:eastAsia="楷体_GB2312"/>
        </w:rPr>
      </w:pPr>
    </w:p>
    <w:p>
      <w:pPr>
        <w:pStyle w:val="3"/>
        <w:spacing w:line="560" w:lineRule="exact"/>
        <w:rPr>
          <w:rFonts w:ascii="楷体_GB2312" w:eastAsia="楷体_GB2312"/>
        </w:rPr>
      </w:pPr>
      <w:r>
        <w:rPr>
          <w:rFonts w:hint="eastAsia" w:ascii="楷体_GB2312" w:eastAsia="楷体_GB2312"/>
        </w:rPr>
        <w:t>（二）财政拨款支出决算结构情况</w:t>
      </w:r>
      <w:bookmarkEnd w:id="34"/>
    </w:p>
    <w:p>
      <w:pPr>
        <w:spacing w:line="560" w:lineRule="exact"/>
        <w:ind w:firstLine="640" w:firstLineChars="200"/>
        <w:rPr>
          <w:rFonts w:hint="eastAsia" w:ascii="仿宋_GB2312" w:hAnsi="宋体" w:eastAsia="仿宋_GB2312"/>
          <w:sz w:val="32"/>
          <w:szCs w:val="32"/>
        </w:rPr>
      </w:pPr>
      <w:r>
        <w:rPr>
          <w:rFonts w:hint="eastAsia" w:ascii="Times New Roman" w:hAnsi="Times New Roman" w:eastAsia="仿宋_GB2312"/>
          <w:color w:val="000000"/>
          <w:sz w:val="32"/>
          <w:lang w:val="en-US" w:eastAsia="zh-CN"/>
        </w:rPr>
        <w:t>2021</w:t>
      </w:r>
      <w:r>
        <w:rPr>
          <w:rFonts w:hint="eastAsia" w:ascii="仿宋_GB2312" w:hAnsi="宋体" w:eastAsia="仿宋_GB2312"/>
          <w:sz w:val="32"/>
          <w:szCs w:val="32"/>
        </w:rPr>
        <w:t>年度财政拨款支出</w:t>
      </w:r>
      <w:r>
        <w:rPr>
          <w:rFonts w:hint="eastAsia" w:ascii="Times New Roman" w:hAnsi="Times New Roman" w:eastAsia="仿宋_GB2312"/>
          <w:color w:val="000000"/>
          <w:sz w:val="32"/>
          <w:lang w:val="en-US" w:eastAsia="zh-CN"/>
        </w:rPr>
        <w:t>1,838.96</w:t>
      </w:r>
      <w:r>
        <w:rPr>
          <w:rFonts w:hint="eastAsia" w:ascii="仿宋_GB2312" w:hAnsi="宋体" w:eastAsia="仿宋_GB2312"/>
          <w:sz w:val="32"/>
          <w:szCs w:val="32"/>
        </w:rPr>
        <w:t>万元，主要用于以下方面：</w:t>
      </w:r>
    </w:p>
    <w:p>
      <w:pPr>
        <w:spacing w:line="560" w:lineRule="exact"/>
        <w:ind w:firstLine="645"/>
        <w:rPr>
          <w:rFonts w:hint="eastAsia" w:ascii="仿宋_GB2312" w:hAnsi="宋体" w:eastAsia="仿宋_GB2312"/>
          <w:sz w:val="32"/>
          <w:szCs w:val="32"/>
        </w:rPr>
      </w:pPr>
      <w:r>
        <w:rPr>
          <w:rFonts w:hint="eastAsia" w:ascii="仿宋_GB2312" w:hAnsi="宋体" w:eastAsia="仿宋_GB2312"/>
          <w:sz w:val="32"/>
          <w:szCs w:val="32"/>
        </w:rPr>
        <w:t>社会保障和就业支出</w:t>
      </w:r>
      <w:r>
        <w:rPr>
          <w:rFonts w:hint="eastAsia" w:ascii="Times New Roman" w:hAnsi="Times New Roman" w:eastAsia="仿宋_GB2312"/>
          <w:color w:val="000000"/>
          <w:sz w:val="32"/>
          <w:lang w:val="en-US" w:eastAsia="zh-CN"/>
        </w:rPr>
        <w:t>61.79</w:t>
      </w:r>
      <w:r>
        <w:rPr>
          <w:rFonts w:hint="eastAsia" w:ascii="仿宋_GB2312" w:hAnsi="宋体" w:eastAsia="仿宋_GB2312"/>
          <w:sz w:val="32"/>
          <w:szCs w:val="32"/>
        </w:rPr>
        <w:t>万元，占</w:t>
      </w:r>
      <w:r>
        <w:rPr>
          <w:rFonts w:hint="eastAsia" w:ascii="Times New Roman" w:hAnsi="Times New Roman" w:eastAsia="仿宋_GB2312"/>
          <w:color w:val="000000"/>
          <w:sz w:val="32"/>
          <w:lang w:val="en-US" w:eastAsia="zh-CN"/>
        </w:rPr>
        <w:t>3.36</w:t>
      </w:r>
      <w:r>
        <w:rPr>
          <w:rFonts w:hint="eastAsia" w:ascii="仿宋_GB2312" w:hAnsi="宋体" w:eastAsia="仿宋_GB2312"/>
          <w:sz w:val="32"/>
          <w:szCs w:val="32"/>
        </w:rPr>
        <w:t>%；</w:t>
      </w:r>
    </w:p>
    <w:p>
      <w:pPr>
        <w:spacing w:line="560" w:lineRule="exact"/>
        <w:ind w:firstLine="645"/>
        <w:rPr>
          <w:rFonts w:hint="eastAsia" w:ascii="仿宋_GB2312" w:hAnsi="宋体" w:eastAsia="仿宋_GB2312"/>
          <w:sz w:val="32"/>
          <w:szCs w:val="32"/>
        </w:rPr>
      </w:pPr>
      <w:r>
        <w:rPr>
          <w:rFonts w:hint="eastAsia" w:ascii="仿宋_GB2312" w:hAnsi="宋体" w:eastAsia="仿宋_GB2312"/>
          <w:sz w:val="32"/>
          <w:szCs w:val="32"/>
        </w:rPr>
        <w:t>卫生健康支出</w:t>
      </w:r>
      <w:r>
        <w:rPr>
          <w:rFonts w:hint="eastAsia" w:ascii="Times New Roman" w:hAnsi="Times New Roman" w:eastAsia="仿宋_GB2312"/>
          <w:color w:val="000000"/>
          <w:sz w:val="32"/>
          <w:lang w:val="en-US" w:eastAsia="zh-CN"/>
        </w:rPr>
        <w:t>16.35</w:t>
      </w:r>
      <w:r>
        <w:rPr>
          <w:rFonts w:hint="eastAsia" w:ascii="仿宋_GB2312" w:hAnsi="宋体" w:eastAsia="仿宋_GB2312"/>
          <w:sz w:val="32"/>
          <w:szCs w:val="32"/>
        </w:rPr>
        <w:t>万元，占</w:t>
      </w:r>
      <w:r>
        <w:rPr>
          <w:rFonts w:hint="eastAsia" w:ascii="Times New Roman" w:hAnsi="Times New Roman" w:eastAsia="仿宋_GB2312"/>
          <w:color w:val="000000"/>
          <w:sz w:val="32"/>
          <w:lang w:val="en-US" w:eastAsia="zh-CN"/>
        </w:rPr>
        <w:t>0.89</w:t>
      </w:r>
      <w:r>
        <w:rPr>
          <w:rFonts w:hint="eastAsia" w:ascii="仿宋_GB2312" w:hAnsi="宋体" w:eastAsia="仿宋_GB2312"/>
          <w:sz w:val="32"/>
          <w:szCs w:val="32"/>
        </w:rPr>
        <w:t>%；</w:t>
      </w:r>
    </w:p>
    <w:p>
      <w:pPr>
        <w:spacing w:line="560" w:lineRule="exact"/>
        <w:ind w:firstLine="645"/>
        <w:rPr>
          <w:rFonts w:hint="eastAsia" w:ascii="仿宋_GB2312" w:hAnsi="宋体" w:eastAsia="仿宋_GB2312"/>
          <w:sz w:val="32"/>
          <w:szCs w:val="32"/>
        </w:rPr>
      </w:pPr>
      <w:r>
        <w:rPr>
          <w:rFonts w:hint="eastAsia" w:ascii="仿宋_GB2312" w:hAnsi="宋体" w:eastAsia="仿宋_GB2312"/>
          <w:sz w:val="32"/>
          <w:szCs w:val="32"/>
        </w:rPr>
        <w:t>资源勘探工业信息等支出</w:t>
      </w:r>
      <w:r>
        <w:rPr>
          <w:rFonts w:hint="eastAsia" w:ascii="Times New Roman" w:hAnsi="Times New Roman" w:eastAsia="仿宋_GB2312"/>
          <w:color w:val="000000"/>
          <w:sz w:val="32"/>
          <w:lang w:val="en-US" w:eastAsia="zh-CN"/>
        </w:rPr>
        <w:t>1,686.22</w:t>
      </w:r>
      <w:r>
        <w:rPr>
          <w:rFonts w:hint="eastAsia" w:ascii="仿宋_GB2312" w:hAnsi="宋体" w:eastAsia="仿宋_GB2312"/>
          <w:sz w:val="32"/>
          <w:szCs w:val="32"/>
        </w:rPr>
        <w:t>万元，占</w:t>
      </w:r>
      <w:r>
        <w:rPr>
          <w:rFonts w:hint="eastAsia" w:ascii="Times New Roman" w:hAnsi="Times New Roman" w:eastAsia="仿宋_GB2312"/>
          <w:color w:val="000000"/>
          <w:sz w:val="32"/>
          <w:lang w:val="en-US" w:eastAsia="zh-CN"/>
        </w:rPr>
        <w:t>91.69</w:t>
      </w:r>
      <w:r>
        <w:rPr>
          <w:rFonts w:hint="eastAsia" w:ascii="仿宋_GB2312" w:hAnsi="宋体" w:eastAsia="仿宋_GB2312"/>
          <w:sz w:val="32"/>
          <w:szCs w:val="32"/>
        </w:rPr>
        <w:t>%；</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住房保障支出</w:t>
      </w:r>
      <w:r>
        <w:rPr>
          <w:rFonts w:hint="eastAsia" w:ascii="Times New Roman" w:hAnsi="Times New Roman" w:eastAsia="仿宋_GB2312"/>
          <w:color w:val="000000"/>
          <w:sz w:val="32"/>
          <w:lang w:val="en-US" w:eastAsia="zh-CN"/>
        </w:rPr>
        <w:t>74.60</w:t>
      </w:r>
      <w:r>
        <w:rPr>
          <w:rFonts w:hint="eastAsia" w:ascii="仿宋_GB2312" w:hAnsi="宋体" w:eastAsia="仿宋_GB2312"/>
          <w:sz w:val="32"/>
          <w:szCs w:val="32"/>
        </w:rPr>
        <w:t>万元，占</w:t>
      </w:r>
      <w:r>
        <w:rPr>
          <w:rFonts w:hint="eastAsia" w:ascii="Times New Roman" w:hAnsi="Times New Roman" w:eastAsia="仿宋_GB2312"/>
          <w:color w:val="000000"/>
          <w:sz w:val="32"/>
          <w:lang w:val="en-US" w:eastAsia="zh-CN"/>
        </w:rPr>
        <w:t>4.06</w:t>
      </w:r>
      <w:r>
        <w:rPr>
          <w:rFonts w:hint="eastAsia" w:ascii="仿宋_GB2312" w:hAnsi="宋体" w:eastAsia="仿宋_GB2312"/>
          <w:sz w:val="32"/>
          <w:szCs w:val="32"/>
        </w:rPr>
        <w:t>%。</w:t>
      </w:r>
    </w:p>
    <w:p>
      <w:pPr>
        <w:spacing w:line="560" w:lineRule="exact"/>
        <w:jc w:val="center"/>
        <w:rPr>
          <w:rFonts w:hint="eastAsia" w:ascii="仿宋_GB2312" w:hAnsi="宋体" w:eastAsia="仿宋_GB2312"/>
          <w:sz w:val="32"/>
          <w:szCs w:val="32"/>
        </w:rPr>
      </w:pPr>
    </w:p>
    <w:p>
      <w:pPr>
        <w:spacing w:line="560" w:lineRule="exact"/>
        <w:jc w:val="center"/>
        <w:rPr>
          <w:rFonts w:hint="eastAsia" w:ascii="仿宋_GB2312" w:hAnsi="宋体" w:eastAsia="仿宋_GB2312"/>
          <w:sz w:val="32"/>
          <w:szCs w:val="32"/>
        </w:rPr>
      </w:pPr>
    </w:p>
    <w:p>
      <w:pPr>
        <w:spacing w:line="560" w:lineRule="exact"/>
        <w:jc w:val="center"/>
        <w:rPr>
          <w:rFonts w:hint="eastAsia" w:ascii="仿宋_GB2312" w:hAnsi="宋体" w:eastAsia="仿宋_GB2312"/>
          <w:b/>
          <w:sz w:val="32"/>
          <w:szCs w:val="32"/>
        </w:rPr>
      </w:pPr>
    </w:p>
    <w:p>
      <w:pPr>
        <w:spacing w:line="560" w:lineRule="exact"/>
        <w:jc w:val="center"/>
        <w:rPr>
          <w:rFonts w:hint="eastAsia" w:ascii="仿宋_GB2312" w:hAnsi="宋体" w:eastAsia="仿宋_GB2312"/>
          <w:b/>
          <w:sz w:val="32"/>
          <w:szCs w:val="32"/>
        </w:rPr>
      </w:pPr>
    </w:p>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图6：财政拨款支出决算结构</w:t>
      </w:r>
    </w:p>
    <w:p>
      <w:pPr>
        <w:spacing w:line="560" w:lineRule="exact"/>
        <w:jc w:val="both"/>
        <w:rPr>
          <w:rFonts w:hint="eastAsia" w:ascii="仿宋_GB2312" w:hAnsi="宋体" w:eastAsia="仿宋_GB2312"/>
          <w:sz w:val="32"/>
          <w:szCs w:val="32"/>
        </w:rPr>
      </w:pPr>
      <w:r>
        <w:rPr>
          <w:rFonts w:ascii="仿宋" w:hAnsi="仿宋" w:eastAsia="仿宋"/>
          <w:bCs/>
          <w:sz w:val="32"/>
          <w:szCs w:val="32"/>
        </w:rPr>
        <w:pict>
          <v:shape id="_x0000_s1056" o:spid="_x0000_s1056" o:spt="75" type="#_x0000_t75" style="position:absolute;left:0pt;margin-left:-6.9pt;margin-top:18.45pt;height:360.2pt;width:504.05pt;mso-wrap-distance-bottom:0pt;mso-wrap-distance-left:9pt;mso-wrap-distance-right:9pt;mso-wrap-distance-top:0pt;z-index:251660288;mso-width-relative:page;mso-height-relative:page;" o:ole="t" filled="f" o:preferrelative="t" stroked="f" coordsize="21600,21600">
            <v:path/>
            <v:fill on="f" focussize="0,0"/>
            <v:stroke on="f"/>
            <v:imagedata r:id="rId27" o:title=""/>
            <o:lock v:ext="edit" aspectratio="t"/>
            <w10:wrap type="square"/>
          </v:shape>
          <o:OLEObject Type="Embed" ProgID="MSGraph.Chart.8" ShapeID="_x0000_s1056" DrawAspect="Content" ObjectID="_1468075731" r:id="rId26">
            <o:LockedField>false</o:LockedField>
          </o:OLEObject>
        </w:pict>
      </w:r>
    </w:p>
    <w:p>
      <w:pPr>
        <w:spacing w:line="560" w:lineRule="exact"/>
        <w:rPr>
          <w:rFonts w:hint="eastAsia" w:ascii="楷体_GB2312" w:eastAsia="楷体_GB2312"/>
        </w:rPr>
      </w:pPr>
      <w:r>
        <w:rPr>
          <w:rFonts w:ascii="仿宋" w:hAnsi="仿宋" w:eastAsia="仿宋"/>
          <w:bCs/>
          <w:sz w:val="32"/>
          <w:szCs w:val="32"/>
        </w:rPr>
        <w:object>
          <v:shape id="_x0000_i1026" o:spt="75" type="#_x0000_t75" style="height:282.4pt;width:408.8pt;" o:ole="t" filled="f" o:preferrelative="t" stroked="f" coordsize="21600,21600">
            <v:path/>
            <v:fill on="f" focussize="0,0"/>
            <v:stroke on="f"/>
            <v:imagedata r:id="rId29" o:title=""/>
            <o:lock v:ext="edit" aspectratio="t"/>
            <w10:wrap type="none"/>
            <w10:anchorlock/>
          </v:shape>
          <o:OLEObject Type="Embed" ProgID="MSGraph.Chart.8" ShapeID="_x0000_i1026" DrawAspect="Content" ObjectID="_1468075732" r:id="rId28">
            <o:LockedField>false</o:LockedField>
          </o:OLEObject>
        </w:object>
      </w:r>
      <w:bookmarkStart w:id="35" w:name="_Toc110258346"/>
    </w:p>
    <w:p>
      <w:pPr>
        <w:pStyle w:val="3"/>
        <w:spacing w:line="560" w:lineRule="exact"/>
        <w:ind w:left="0" w:leftChars="0" w:firstLine="640" w:firstLineChars="200"/>
        <w:rPr>
          <w:rFonts w:hint="eastAsia" w:ascii="楷体_GB2312" w:eastAsia="楷体_GB2312"/>
        </w:rPr>
      </w:pPr>
    </w:p>
    <w:p>
      <w:pPr>
        <w:pStyle w:val="3"/>
        <w:spacing w:line="560" w:lineRule="exact"/>
        <w:ind w:left="0" w:leftChars="0" w:firstLine="640" w:firstLineChars="200"/>
        <w:rPr>
          <w:rFonts w:ascii="楷体_GB2312" w:eastAsia="楷体_GB2312"/>
        </w:rPr>
      </w:pPr>
      <w:r>
        <w:rPr>
          <w:rFonts w:hint="eastAsia" w:ascii="楷体_GB2312" w:eastAsia="楷体_GB2312"/>
        </w:rPr>
        <w:t>（三）财政拨款支出决算具体情况</w:t>
      </w:r>
      <w:bookmarkEnd w:id="35"/>
    </w:p>
    <w:p>
      <w:pPr>
        <w:spacing w:line="560" w:lineRule="exact"/>
        <w:ind w:firstLine="645"/>
        <w:rPr>
          <w:rFonts w:hint="eastAsia" w:ascii="仿宋_GB2312" w:hAnsi="宋体" w:eastAsia="仿宋_GB2312"/>
          <w:sz w:val="32"/>
          <w:szCs w:val="32"/>
        </w:rPr>
      </w:pPr>
      <w:r>
        <w:rPr>
          <w:rFonts w:hint="eastAsia" w:ascii="Times New Roman" w:hAnsi="Times New Roman" w:eastAsia="仿宋_GB2312"/>
          <w:color w:val="000000"/>
          <w:sz w:val="32"/>
          <w:lang w:val="en-US" w:eastAsia="zh-CN"/>
        </w:rPr>
        <w:t>2021</w:t>
      </w:r>
      <w:r>
        <w:rPr>
          <w:rFonts w:hint="eastAsia" w:ascii="仿宋_GB2312" w:hAnsi="宋体" w:eastAsia="仿宋_GB2312"/>
          <w:sz w:val="32"/>
          <w:szCs w:val="32"/>
        </w:rPr>
        <w:t>年度财政拨款支出年初预算为</w:t>
      </w:r>
      <w:r>
        <w:rPr>
          <w:rFonts w:hint="eastAsia" w:ascii="Times New Roman" w:hAnsi="Times New Roman" w:eastAsia="仿宋_GB2312"/>
          <w:color w:val="000000"/>
          <w:sz w:val="32"/>
          <w:lang w:val="en-US" w:eastAsia="zh-CN"/>
        </w:rPr>
        <w:t>1,867.48</w:t>
      </w:r>
      <w:r>
        <w:rPr>
          <w:rFonts w:hint="eastAsia" w:ascii="仿宋_GB2312" w:hAnsi="宋体" w:eastAsia="仿宋_GB2312"/>
          <w:sz w:val="32"/>
          <w:szCs w:val="32"/>
        </w:rPr>
        <w:t>万元，支出决算为</w:t>
      </w:r>
      <w:r>
        <w:rPr>
          <w:rFonts w:hint="eastAsia" w:ascii="Times New Roman" w:hAnsi="Times New Roman" w:eastAsia="仿宋_GB2312"/>
          <w:color w:val="000000"/>
          <w:sz w:val="32"/>
          <w:lang w:val="en-US" w:eastAsia="zh-CN"/>
        </w:rPr>
        <w:t>1,838.96</w:t>
      </w:r>
      <w:r>
        <w:rPr>
          <w:rFonts w:hint="eastAsia" w:ascii="仿宋_GB2312" w:hAnsi="宋体" w:eastAsia="仿宋_GB2312"/>
          <w:sz w:val="32"/>
          <w:szCs w:val="32"/>
        </w:rPr>
        <w:t>万元，完成年初预算的</w:t>
      </w:r>
      <w:r>
        <w:rPr>
          <w:rFonts w:hint="eastAsia" w:ascii="Times New Roman" w:hAnsi="Times New Roman" w:eastAsia="仿宋_GB2312"/>
          <w:color w:val="000000"/>
          <w:sz w:val="32"/>
          <w:lang w:val="en-US" w:eastAsia="zh-CN"/>
        </w:rPr>
        <w:t>98.47%</w:t>
      </w:r>
      <w:r>
        <w:rPr>
          <w:rFonts w:hint="eastAsia" w:ascii="仿宋_GB2312" w:hAnsi="宋体" w:eastAsia="仿宋_GB2312"/>
          <w:sz w:val="32"/>
          <w:szCs w:val="32"/>
        </w:rPr>
        <w:t>，其中：</w:t>
      </w:r>
    </w:p>
    <w:p>
      <w:pPr>
        <w:numPr>
          <w:ilvl w:val="0"/>
          <w:numId w:val="0"/>
        </w:numPr>
        <w:spacing w:line="560" w:lineRule="exact"/>
        <w:ind w:firstLine="640" w:firstLineChars="200"/>
        <w:rPr>
          <w:rFonts w:hint="eastAsia" w:ascii="仿宋_GB2312" w:hAnsi="宋体" w:eastAsia="仿宋_GB2312"/>
          <w:sz w:val="32"/>
          <w:szCs w:val="32"/>
        </w:rPr>
      </w:pPr>
      <w:r>
        <w:rPr>
          <w:rFonts w:hint="eastAsia" w:ascii="Times New Roman" w:hAnsi="Times New Roman" w:eastAsia="仿宋_GB2312"/>
          <w:color w:val="000000"/>
          <w:sz w:val="32"/>
          <w:lang w:val="en-US" w:eastAsia="zh-CN"/>
        </w:rPr>
        <w:t>1.</w:t>
      </w:r>
      <w:r>
        <w:rPr>
          <w:rFonts w:hint="eastAsia" w:ascii="仿宋_GB2312" w:hAnsi="宋体" w:eastAsia="仿宋_GB2312"/>
          <w:sz w:val="32"/>
          <w:szCs w:val="32"/>
        </w:rPr>
        <w:t>社会保障和就业支出（类）行政事业单位养老支出（款）行政单位离退休（项）。年初预算为</w:t>
      </w:r>
      <w:r>
        <w:rPr>
          <w:rFonts w:hint="eastAsia" w:ascii="Times New Roman" w:hAnsi="Times New Roman" w:eastAsia="仿宋_GB2312"/>
          <w:color w:val="000000"/>
          <w:sz w:val="32"/>
          <w:lang w:val="en-US" w:eastAsia="zh-CN"/>
        </w:rPr>
        <w:t>29.06</w:t>
      </w:r>
      <w:r>
        <w:rPr>
          <w:rFonts w:hint="eastAsia" w:ascii="仿宋_GB2312" w:hAnsi="宋体" w:eastAsia="仿宋_GB2312"/>
          <w:sz w:val="32"/>
          <w:szCs w:val="32"/>
        </w:rPr>
        <w:t>万元，支出决算为</w:t>
      </w:r>
      <w:r>
        <w:rPr>
          <w:rFonts w:hint="eastAsia" w:ascii="Times New Roman" w:hAnsi="Times New Roman" w:eastAsia="仿宋_GB2312"/>
          <w:color w:val="000000"/>
          <w:sz w:val="32"/>
          <w:lang w:val="en-US" w:eastAsia="zh-CN"/>
        </w:rPr>
        <w:t>29.06</w:t>
      </w:r>
      <w:r>
        <w:rPr>
          <w:rFonts w:hint="eastAsia" w:ascii="仿宋_GB2312" w:hAnsi="宋体" w:eastAsia="仿宋_GB2312"/>
          <w:sz w:val="32"/>
          <w:szCs w:val="32"/>
        </w:rPr>
        <w:t>万元，完成年初预算的</w:t>
      </w:r>
      <w:r>
        <w:rPr>
          <w:rFonts w:hint="eastAsia" w:ascii="Times New Roman" w:hAnsi="Times New Roman" w:eastAsia="仿宋_GB2312"/>
          <w:color w:val="000000"/>
          <w:sz w:val="32"/>
          <w:lang w:val="en-US" w:eastAsia="zh-CN"/>
        </w:rPr>
        <w:t>100%</w:t>
      </w:r>
      <w:r>
        <w:rPr>
          <w:rFonts w:hint="eastAsia" w:ascii="仿宋_GB2312" w:hAnsi="宋体" w:eastAsia="仿宋_GB2312"/>
          <w:sz w:val="32"/>
          <w:szCs w:val="32"/>
        </w:rPr>
        <w:t>。</w:t>
      </w:r>
    </w:p>
    <w:p>
      <w:pPr>
        <w:numPr>
          <w:ilvl w:val="0"/>
          <w:numId w:val="0"/>
        </w:numPr>
        <w:spacing w:line="560" w:lineRule="exact"/>
        <w:ind w:firstLine="640" w:firstLineChars="200"/>
        <w:rPr>
          <w:rFonts w:hint="eastAsia" w:ascii="仿宋_GB2312" w:hAnsi="宋体" w:eastAsia="仿宋_GB2312"/>
          <w:sz w:val="32"/>
          <w:szCs w:val="32"/>
        </w:rPr>
      </w:pPr>
      <w:r>
        <w:rPr>
          <w:rFonts w:hint="eastAsia" w:ascii="Times New Roman" w:hAnsi="Times New Roman" w:eastAsia="仿宋_GB2312"/>
          <w:color w:val="000000"/>
          <w:sz w:val="32"/>
          <w:lang w:val="en-US" w:eastAsia="zh-CN"/>
        </w:rPr>
        <w:t>2.</w:t>
      </w:r>
      <w:r>
        <w:rPr>
          <w:rFonts w:hint="eastAsia" w:ascii="仿宋_GB2312" w:hAnsi="宋体" w:eastAsia="仿宋_GB2312"/>
          <w:sz w:val="32"/>
          <w:szCs w:val="32"/>
        </w:rPr>
        <w:t>社会保障和就业支出（类）行政事业单位养老支出（款）机关事业单位基本养老保险缴费支出（项）。年初预算为</w:t>
      </w:r>
      <w:r>
        <w:rPr>
          <w:rFonts w:hint="eastAsia" w:ascii="Times New Roman" w:hAnsi="Times New Roman" w:eastAsia="仿宋_GB2312"/>
          <w:color w:val="000000"/>
          <w:sz w:val="32"/>
          <w:lang w:val="en-US" w:eastAsia="zh-CN"/>
        </w:rPr>
        <w:t>21.82</w:t>
      </w:r>
      <w:r>
        <w:rPr>
          <w:rFonts w:hint="eastAsia" w:ascii="仿宋_GB2312" w:hAnsi="宋体" w:eastAsia="仿宋_GB2312"/>
          <w:sz w:val="32"/>
          <w:szCs w:val="32"/>
        </w:rPr>
        <w:t>万元，支出决算为</w:t>
      </w:r>
      <w:r>
        <w:rPr>
          <w:rFonts w:hint="eastAsia" w:ascii="Times New Roman" w:hAnsi="Times New Roman" w:eastAsia="仿宋_GB2312"/>
          <w:color w:val="000000"/>
          <w:sz w:val="32"/>
          <w:lang w:val="en-US" w:eastAsia="zh-CN"/>
        </w:rPr>
        <w:t>21.82</w:t>
      </w:r>
      <w:r>
        <w:rPr>
          <w:rFonts w:hint="eastAsia" w:ascii="仿宋_GB2312" w:hAnsi="宋体" w:eastAsia="仿宋_GB2312"/>
          <w:sz w:val="32"/>
          <w:szCs w:val="32"/>
        </w:rPr>
        <w:t>万元，完成年初预算的</w:t>
      </w:r>
      <w:r>
        <w:rPr>
          <w:rFonts w:hint="eastAsia" w:ascii="Times New Roman" w:hAnsi="Times New Roman" w:eastAsia="仿宋_GB2312"/>
          <w:color w:val="000000"/>
          <w:sz w:val="32"/>
          <w:lang w:val="en-US" w:eastAsia="zh-CN"/>
        </w:rPr>
        <w:t>100%</w:t>
      </w:r>
      <w:r>
        <w:rPr>
          <w:rFonts w:hint="eastAsia" w:ascii="仿宋_GB2312" w:hAnsi="宋体" w:eastAsia="仿宋_GB2312"/>
          <w:sz w:val="32"/>
          <w:szCs w:val="32"/>
        </w:rPr>
        <w:t>。</w:t>
      </w:r>
    </w:p>
    <w:p>
      <w:pPr>
        <w:spacing w:line="560" w:lineRule="exact"/>
        <w:ind w:firstLine="645"/>
        <w:rPr>
          <w:rFonts w:hint="eastAsia" w:ascii="仿宋_GB2312" w:eastAsia="仿宋_GB2312"/>
        </w:rPr>
      </w:pPr>
      <w:r>
        <w:rPr>
          <w:rFonts w:hint="eastAsia" w:ascii="Times New Roman" w:hAnsi="Times New Roman" w:eastAsia="仿宋_GB2312"/>
          <w:color w:val="000000"/>
          <w:sz w:val="32"/>
          <w:lang w:val="en-US" w:eastAsia="zh-CN"/>
        </w:rPr>
        <w:t>3.</w:t>
      </w:r>
      <w:r>
        <w:rPr>
          <w:rFonts w:hint="eastAsia" w:ascii="仿宋_GB2312" w:hAnsi="宋体" w:eastAsia="仿宋_GB2312"/>
          <w:sz w:val="32"/>
          <w:szCs w:val="32"/>
        </w:rPr>
        <w:t>社会保障和就业支出（类）行政事业单位养老支出（款）机关事业单位职业年金缴费支出（项）。年初预算为</w:t>
      </w:r>
      <w:r>
        <w:rPr>
          <w:rFonts w:hint="eastAsia" w:ascii="Times New Roman" w:hAnsi="Times New Roman" w:eastAsia="仿宋_GB2312"/>
          <w:color w:val="000000"/>
          <w:sz w:val="32"/>
          <w:lang w:val="en-US" w:eastAsia="zh-CN"/>
        </w:rPr>
        <w:t>10.91</w:t>
      </w:r>
      <w:r>
        <w:rPr>
          <w:rFonts w:hint="eastAsia" w:ascii="仿宋_GB2312" w:hAnsi="宋体" w:eastAsia="仿宋_GB2312"/>
          <w:sz w:val="32"/>
          <w:szCs w:val="32"/>
        </w:rPr>
        <w:t>万元，支出决算为</w:t>
      </w:r>
      <w:r>
        <w:rPr>
          <w:rFonts w:hint="eastAsia" w:ascii="Times New Roman" w:hAnsi="Times New Roman" w:eastAsia="仿宋_GB2312"/>
          <w:color w:val="000000"/>
          <w:sz w:val="32"/>
          <w:lang w:val="en-US" w:eastAsia="zh-CN"/>
        </w:rPr>
        <w:t>10.91</w:t>
      </w:r>
      <w:r>
        <w:rPr>
          <w:rFonts w:hint="eastAsia" w:ascii="仿宋_GB2312" w:hAnsi="宋体" w:eastAsia="仿宋_GB2312"/>
          <w:sz w:val="32"/>
          <w:szCs w:val="32"/>
        </w:rPr>
        <w:t>万元，完成年初预算的</w:t>
      </w:r>
      <w:r>
        <w:rPr>
          <w:rFonts w:hint="eastAsia" w:ascii="Times New Roman" w:hAnsi="Times New Roman" w:eastAsia="仿宋_GB2312"/>
          <w:color w:val="000000"/>
          <w:sz w:val="32"/>
          <w:lang w:val="en-US" w:eastAsia="zh-CN"/>
        </w:rPr>
        <w:t>100%</w:t>
      </w:r>
      <w:r>
        <w:rPr>
          <w:rFonts w:hint="eastAsia" w:ascii="仿宋_GB2312" w:hAnsi="宋体" w:eastAsia="仿宋_GB2312"/>
          <w:sz w:val="32"/>
          <w:szCs w:val="32"/>
        </w:rPr>
        <w:t>。</w:t>
      </w:r>
    </w:p>
    <w:p>
      <w:pPr>
        <w:spacing w:line="560" w:lineRule="exact"/>
        <w:ind w:firstLine="645"/>
        <w:rPr>
          <w:rFonts w:hint="eastAsia" w:ascii="仿宋_GB2312" w:hAnsi="宋体" w:eastAsia="仿宋_GB2312"/>
          <w:sz w:val="32"/>
          <w:szCs w:val="32"/>
          <w:lang w:eastAsia="zh-CN"/>
        </w:rPr>
      </w:pPr>
      <w:r>
        <w:rPr>
          <w:rFonts w:hint="eastAsia" w:ascii="Times New Roman" w:hAnsi="Times New Roman" w:eastAsia="仿宋_GB2312"/>
          <w:color w:val="000000"/>
          <w:sz w:val="32"/>
          <w:lang w:val="en-US" w:eastAsia="zh-CN"/>
        </w:rPr>
        <w:t>4.</w:t>
      </w:r>
      <w:r>
        <w:rPr>
          <w:rFonts w:hint="eastAsia" w:ascii="仿宋_GB2312" w:hAnsi="宋体" w:eastAsia="仿宋_GB2312"/>
          <w:sz w:val="32"/>
          <w:szCs w:val="32"/>
        </w:rPr>
        <w:t>卫生健康支出（类）行政事业单位医疗（款）行政单位医疗（项）。年初预算为</w:t>
      </w:r>
      <w:r>
        <w:rPr>
          <w:rFonts w:hint="eastAsia" w:ascii="Times New Roman" w:hAnsi="Times New Roman" w:eastAsia="仿宋_GB2312"/>
          <w:color w:val="000000"/>
          <w:sz w:val="32"/>
          <w:lang w:val="en-US" w:eastAsia="zh-CN"/>
        </w:rPr>
        <w:t>16.35</w:t>
      </w:r>
      <w:r>
        <w:rPr>
          <w:rFonts w:hint="eastAsia" w:ascii="仿宋_GB2312" w:hAnsi="宋体" w:eastAsia="仿宋_GB2312"/>
          <w:sz w:val="32"/>
          <w:szCs w:val="32"/>
        </w:rPr>
        <w:t>万元，支出决算为</w:t>
      </w:r>
      <w:r>
        <w:rPr>
          <w:rFonts w:hint="eastAsia" w:ascii="Times New Roman" w:hAnsi="Times New Roman" w:eastAsia="仿宋_GB2312"/>
          <w:color w:val="000000"/>
          <w:sz w:val="32"/>
          <w:lang w:val="en-US" w:eastAsia="zh-CN"/>
        </w:rPr>
        <w:t>16.35</w:t>
      </w:r>
      <w:r>
        <w:rPr>
          <w:rFonts w:hint="eastAsia" w:ascii="仿宋_GB2312" w:hAnsi="宋体" w:eastAsia="仿宋_GB2312"/>
          <w:sz w:val="32"/>
          <w:szCs w:val="32"/>
        </w:rPr>
        <w:t>万元，完成年初预算的</w:t>
      </w:r>
      <w:r>
        <w:rPr>
          <w:rFonts w:hint="eastAsia" w:ascii="Times New Roman" w:hAnsi="Times New Roman" w:eastAsia="仿宋_GB2312"/>
          <w:color w:val="000000"/>
          <w:sz w:val="32"/>
          <w:lang w:val="en-US" w:eastAsia="zh-CN"/>
        </w:rPr>
        <w:t>100%</w:t>
      </w:r>
      <w:r>
        <w:rPr>
          <w:rFonts w:hint="eastAsia" w:ascii="仿宋_GB2312" w:hAnsi="宋体" w:eastAsia="仿宋_GB2312"/>
          <w:sz w:val="32"/>
          <w:szCs w:val="32"/>
        </w:rPr>
        <w:t>。</w:t>
      </w:r>
    </w:p>
    <w:p>
      <w:pPr>
        <w:spacing w:line="560" w:lineRule="exact"/>
        <w:ind w:firstLine="645"/>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5.</w:t>
      </w:r>
      <w:r>
        <w:rPr>
          <w:rFonts w:hint="eastAsia" w:ascii="仿宋_GB2312" w:hAnsi="Times New Roman" w:eastAsia="仿宋_GB2312" w:cs="Times New Roman"/>
          <w:color w:val="000000"/>
          <w:sz w:val="32"/>
        </w:rPr>
        <w:t>资源勘探工业信息等支出（类）工业和信息产业监管（款）。年初预算为</w:t>
      </w:r>
      <w:r>
        <w:rPr>
          <w:rFonts w:hint="eastAsia" w:ascii="Times New Roman" w:hAnsi="Times New Roman" w:eastAsia="仿宋_GB2312"/>
          <w:color w:val="000000"/>
          <w:sz w:val="32"/>
          <w:lang w:val="en-US" w:eastAsia="zh-CN"/>
        </w:rPr>
        <w:t>1,714.74</w:t>
      </w:r>
      <w:r>
        <w:rPr>
          <w:rFonts w:hint="eastAsia" w:ascii="仿宋_GB2312" w:hAnsi="Times New Roman" w:eastAsia="仿宋_GB2312" w:cs="Times New Roman"/>
          <w:color w:val="000000"/>
          <w:sz w:val="32"/>
        </w:rPr>
        <w:t>万元，支出决算为</w:t>
      </w:r>
      <w:r>
        <w:rPr>
          <w:rFonts w:hint="eastAsia" w:ascii="Times New Roman" w:hAnsi="Times New Roman" w:eastAsia="仿宋_GB2312"/>
          <w:color w:val="000000"/>
          <w:sz w:val="32"/>
          <w:lang w:val="en-US" w:eastAsia="zh-CN"/>
        </w:rPr>
        <w:t>1,686.21</w:t>
      </w:r>
      <w:r>
        <w:rPr>
          <w:rFonts w:hint="eastAsia" w:ascii="仿宋_GB2312" w:hAnsi="Times New Roman" w:eastAsia="仿宋_GB2312" w:cs="Times New Roman"/>
          <w:color w:val="000000"/>
          <w:sz w:val="32"/>
        </w:rPr>
        <w:t>万元，完成年初预算的</w:t>
      </w:r>
      <w:r>
        <w:rPr>
          <w:rFonts w:hint="eastAsia" w:ascii="Times New Roman" w:hAnsi="Times New Roman" w:eastAsia="仿宋_GB2312"/>
          <w:color w:val="000000"/>
          <w:sz w:val="32"/>
          <w:lang w:val="en-US" w:eastAsia="zh-CN"/>
        </w:rPr>
        <w:t>98.34%。决算数大于预算数的主要原因是中央基建投资项目结转资金。</w:t>
      </w:r>
    </w:p>
    <w:p>
      <w:pPr>
        <w:spacing w:line="560" w:lineRule="exact"/>
        <w:ind w:firstLine="645"/>
        <w:rPr>
          <w:rFonts w:ascii="仿宋_GB2312" w:hAnsi="宋体" w:eastAsia="仿宋_GB2312"/>
          <w:sz w:val="32"/>
          <w:szCs w:val="32"/>
        </w:rPr>
      </w:pPr>
      <w:bookmarkStart w:id="36" w:name="_Toc3963"/>
      <w:bookmarkStart w:id="37" w:name="_Toc19097"/>
      <w:bookmarkStart w:id="38" w:name="_Toc110258347"/>
      <w:r>
        <w:rPr>
          <w:rFonts w:hint="eastAsia" w:ascii="Times New Roman" w:hAnsi="Times New Roman" w:eastAsia="仿宋_GB2312"/>
          <w:color w:val="000000"/>
          <w:sz w:val="32"/>
          <w:lang w:val="en-US" w:eastAsia="zh-CN"/>
        </w:rPr>
        <w:t>6.</w:t>
      </w:r>
      <w:r>
        <w:rPr>
          <w:rFonts w:hint="eastAsia" w:ascii="Times New Roman" w:hAnsi="Times New Roman" w:eastAsia="仿宋_GB2312"/>
          <w:color w:val="000000"/>
          <w:sz w:val="32"/>
        </w:rPr>
        <w:t>住房保障</w:t>
      </w:r>
      <w:r>
        <w:rPr>
          <w:rFonts w:hint="eastAsia" w:ascii="Times New Roman" w:hAnsi="Times New Roman" w:eastAsia="仿宋_GB2312"/>
          <w:color w:val="000000"/>
          <w:sz w:val="32"/>
          <w:lang w:val="en-US" w:eastAsia="zh-CN"/>
        </w:rPr>
        <w:t>支出</w:t>
      </w:r>
      <w:r>
        <w:rPr>
          <w:rFonts w:hint="eastAsia" w:ascii="Times New Roman" w:hAnsi="Times New Roman" w:eastAsia="仿宋_GB2312"/>
          <w:color w:val="000000"/>
          <w:sz w:val="32"/>
        </w:rPr>
        <w:t>（类）住房改革支出（款）住房公积金（项）。年初预算为</w:t>
      </w:r>
      <w:r>
        <w:rPr>
          <w:rFonts w:hint="eastAsia" w:ascii="Times New Roman" w:hAnsi="Times New Roman" w:eastAsia="仿宋_GB2312"/>
          <w:color w:val="000000"/>
          <w:sz w:val="32"/>
          <w:lang w:val="en-US" w:eastAsia="zh-CN"/>
        </w:rPr>
        <w:t>34.40</w:t>
      </w:r>
      <w:r>
        <w:rPr>
          <w:rFonts w:hint="eastAsia" w:ascii="Times New Roman" w:hAnsi="Times New Roman" w:eastAsia="仿宋_GB2312"/>
          <w:color w:val="000000"/>
          <w:sz w:val="32"/>
        </w:rPr>
        <w:t>万元，支出决算为</w:t>
      </w:r>
      <w:r>
        <w:rPr>
          <w:rFonts w:hint="eastAsia" w:ascii="Times New Roman" w:hAnsi="Times New Roman" w:eastAsia="仿宋_GB2312"/>
          <w:color w:val="000000"/>
          <w:sz w:val="32"/>
          <w:lang w:val="en-US" w:eastAsia="zh-CN"/>
        </w:rPr>
        <w:t>34.40</w:t>
      </w:r>
      <w:r>
        <w:rPr>
          <w:rFonts w:hint="eastAsia" w:ascii="Times New Roman" w:hAnsi="Times New Roman" w:eastAsia="仿宋_GB2312"/>
          <w:color w:val="000000"/>
          <w:sz w:val="32"/>
        </w:rPr>
        <w:t>万元，完成年初预算的100%。</w:t>
      </w:r>
    </w:p>
    <w:p>
      <w:pPr>
        <w:spacing w:line="560" w:lineRule="exact"/>
        <w:ind w:firstLine="645"/>
        <w:rPr>
          <w:rFonts w:ascii="仿宋_GB2312" w:hAnsi="宋体" w:eastAsia="仿宋_GB2312"/>
          <w:sz w:val="32"/>
          <w:szCs w:val="32"/>
        </w:rPr>
      </w:pPr>
      <w:r>
        <w:rPr>
          <w:rFonts w:hint="eastAsia" w:ascii="Times New Roman" w:hAnsi="Times New Roman" w:eastAsia="仿宋_GB2312"/>
          <w:color w:val="000000"/>
          <w:sz w:val="32"/>
          <w:lang w:val="en-US" w:eastAsia="zh-CN"/>
        </w:rPr>
        <w:t>7.</w:t>
      </w:r>
      <w:r>
        <w:rPr>
          <w:rFonts w:hint="eastAsia" w:ascii="Times New Roman" w:hAnsi="Times New Roman" w:eastAsia="仿宋_GB2312"/>
          <w:color w:val="000000"/>
          <w:sz w:val="32"/>
        </w:rPr>
        <w:t>住房保障</w:t>
      </w:r>
      <w:r>
        <w:rPr>
          <w:rFonts w:hint="eastAsia" w:ascii="Times New Roman" w:hAnsi="Times New Roman" w:eastAsia="仿宋_GB2312"/>
          <w:color w:val="000000"/>
          <w:sz w:val="32"/>
          <w:lang w:val="en-US" w:eastAsia="zh-CN"/>
        </w:rPr>
        <w:t>支出</w:t>
      </w:r>
      <w:r>
        <w:rPr>
          <w:rFonts w:hint="eastAsia" w:ascii="Times New Roman" w:hAnsi="Times New Roman" w:eastAsia="仿宋_GB2312"/>
          <w:color w:val="000000"/>
          <w:sz w:val="32"/>
        </w:rPr>
        <w:t>（类）住房改革支出（款）购房补贴（项）。年初预算为</w:t>
      </w:r>
      <w:r>
        <w:rPr>
          <w:rFonts w:hint="eastAsia" w:ascii="Times New Roman" w:hAnsi="Times New Roman" w:eastAsia="仿宋_GB2312"/>
          <w:color w:val="000000"/>
          <w:sz w:val="32"/>
          <w:lang w:val="en-US" w:eastAsia="zh-CN"/>
        </w:rPr>
        <w:t>40.20</w:t>
      </w:r>
      <w:r>
        <w:rPr>
          <w:rFonts w:hint="eastAsia" w:ascii="Times New Roman" w:hAnsi="Times New Roman" w:eastAsia="仿宋_GB2312"/>
          <w:color w:val="000000"/>
          <w:sz w:val="32"/>
        </w:rPr>
        <w:t>万元，支出决算为</w:t>
      </w:r>
      <w:r>
        <w:rPr>
          <w:rFonts w:hint="eastAsia" w:ascii="Times New Roman" w:hAnsi="Times New Roman" w:eastAsia="仿宋_GB2312"/>
          <w:color w:val="000000"/>
          <w:sz w:val="32"/>
          <w:lang w:val="en-US" w:eastAsia="zh-CN"/>
        </w:rPr>
        <w:t>40.20</w:t>
      </w:r>
      <w:r>
        <w:rPr>
          <w:rFonts w:hint="eastAsia" w:ascii="Times New Roman" w:hAnsi="Times New Roman" w:eastAsia="仿宋_GB2312"/>
          <w:color w:val="000000"/>
          <w:sz w:val="32"/>
        </w:rPr>
        <w:t>万元，完成年初预算的100%。</w:t>
      </w:r>
    </w:p>
    <w:p>
      <w:pPr>
        <w:pStyle w:val="3"/>
        <w:spacing w:line="560" w:lineRule="exact"/>
      </w:pPr>
      <w:r>
        <w:rPr>
          <w:rFonts w:hint="eastAsia"/>
        </w:rPr>
        <w:t>六、一般公共预算财政拨款基本支出决算情况说明</w:t>
      </w:r>
      <w:bookmarkEnd w:id="36"/>
      <w:bookmarkEnd w:id="37"/>
      <w:bookmarkEnd w:id="38"/>
    </w:p>
    <w:p>
      <w:pPr>
        <w:spacing w:line="560" w:lineRule="exact"/>
        <w:ind w:firstLine="645"/>
        <w:rPr>
          <w:rFonts w:hint="eastAsia" w:ascii="Times New Roman" w:hAnsi="Times New Roman" w:eastAsia="仿宋_GB2312" w:cs="Times New Roman"/>
          <w:color w:val="000000"/>
          <w:sz w:val="32"/>
        </w:rPr>
      </w:pPr>
      <w:r>
        <w:rPr>
          <w:rFonts w:hint="eastAsia" w:ascii="Times New Roman" w:hAnsi="Times New Roman" w:eastAsia="仿宋_GB2312" w:cs="Times New Roman"/>
          <w:color w:val="000000"/>
          <w:sz w:val="32"/>
        </w:rPr>
        <w:t>20</w:t>
      </w:r>
      <w:r>
        <w:rPr>
          <w:rFonts w:hint="eastAsia" w:ascii="Times New Roman" w:hAnsi="Times New Roman" w:eastAsia="仿宋_GB2312"/>
          <w:color w:val="000000"/>
          <w:sz w:val="32"/>
        </w:rPr>
        <w:t>21</w:t>
      </w:r>
      <w:r>
        <w:rPr>
          <w:rFonts w:hint="eastAsia" w:ascii="Times New Roman" w:hAnsi="Times New Roman" w:eastAsia="仿宋_GB2312" w:cs="Times New Roman"/>
          <w:color w:val="000000"/>
          <w:sz w:val="32"/>
        </w:rPr>
        <w:t>年度财政拨款基本支出</w:t>
      </w:r>
      <w:r>
        <w:rPr>
          <w:rFonts w:hint="eastAsia" w:ascii="Times New Roman" w:hAnsi="Times New Roman" w:eastAsia="仿宋_GB2312"/>
          <w:color w:val="000000"/>
          <w:sz w:val="32"/>
          <w:lang w:val="en-US" w:eastAsia="zh-CN"/>
        </w:rPr>
        <w:t>352.95</w:t>
      </w:r>
      <w:r>
        <w:rPr>
          <w:rFonts w:hint="eastAsia" w:ascii="Times New Roman" w:hAnsi="Times New Roman" w:eastAsia="仿宋_GB2312" w:cs="Times New Roman"/>
          <w:color w:val="000000"/>
          <w:sz w:val="32"/>
        </w:rPr>
        <w:t>万元，其中：</w:t>
      </w:r>
    </w:p>
    <w:p>
      <w:pPr>
        <w:spacing w:line="560" w:lineRule="exact"/>
        <w:ind w:firstLine="645"/>
        <w:rPr>
          <w:rFonts w:hint="eastAsia" w:ascii="Times New Roman" w:hAnsi="Times New Roman" w:eastAsia="仿宋_GB2312" w:cs="Times New Roman"/>
          <w:color w:val="000000"/>
          <w:sz w:val="32"/>
        </w:rPr>
      </w:pPr>
      <w:r>
        <w:rPr>
          <w:rFonts w:hint="eastAsia" w:ascii="Times New Roman" w:hAnsi="Times New Roman" w:eastAsia="仿宋_GB2312" w:cs="Times New Roman"/>
          <w:color w:val="000000"/>
          <w:sz w:val="32"/>
        </w:rPr>
        <w:t>人员经费</w:t>
      </w:r>
      <w:r>
        <w:rPr>
          <w:rFonts w:hint="eastAsia" w:ascii="Times New Roman" w:hAnsi="Times New Roman" w:eastAsia="仿宋_GB2312"/>
          <w:color w:val="000000"/>
          <w:sz w:val="32"/>
          <w:lang w:val="en-US" w:eastAsia="zh-CN"/>
        </w:rPr>
        <w:t>282.84</w:t>
      </w:r>
      <w:r>
        <w:rPr>
          <w:rFonts w:hint="eastAsia" w:ascii="Times New Roman" w:hAnsi="Times New Roman" w:eastAsia="仿宋_GB2312" w:cs="Times New Roman"/>
          <w:color w:val="000000"/>
          <w:sz w:val="32"/>
        </w:rPr>
        <w:t>万元，主要包括：基本工资、津贴补贴、奖金、机关事业单位基本养老保险缴费、职业年金缴费、职工基本医疗保险缴费、公务员医疗补助缴费、其他社会保障缴费、</w:t>
      </w:r>
      <w:r>
        <w:rPr>
          <w:rFonts w:hint="eastAsia" w:ascii="Times New Roman" w:hAnsi="Times New Roman" w:eastAsia="仿宋_GB2312"/>
          <w:color w:val="000000"/>
          <w:sz w:val="32"/>
        </w:rPr>
        <w:t>住房公积金、其他工资福利支出和退休费</w:t>
      </w:r>
      <w:r>
        <w:rPr>
          <w:rFonts w:hint="eastAsia" w:ascii="Times New Roman" w:hAnsi="Times New Roman" w:eastAsia="仿宋_GB2312" w:cs="Times New Roman"/>
          <w:color w:val="000000"/>
          <w:sz w:val="32"/>
        </w:rPr>
        <w:t>。</w:t>
      </w:r>
    </w:p>
    <w:p>
      <w:pPr>
        <w:spacing w:line="560" w:lineRule="exact"/>
        <w:ind w:firstLine="645"/>
        <w:rPr>
          <w:rFonts w:ascii="Times New Roman" w:hAnsi="Times New Roman" w:eastAsia="仿宋_GB2312"/>
          <w:color w:val="000000"/>
          <w:sz w:val="32"/>
        </w:rPr>
      </w:pPr>
      <w:r>
        <w:rPr>
          <w:rFonts w:hint="eastAsia" w:ascii="Times New Roman" w:hAnsi="Times New Roman" w:eastAsia="仿宋_GB2312" w:cs="Times New Roman"/>
          <w:color w:val="000000"/>
          <w:sz w:val="32"/>
        </w:rPr>
        <w:t>公用经费</w:t>
      </w:r>
      <w:r>
        <w:rPr>
          <w:rFonts w:hint="eastAsia" w:ascii="Times New Roman" w:hAnsi="Times New Roman" w:eastAsia="仿宋_GB2312"/>
          <w:color w:val="000000"/>
          <w:sz w:val="32"/>
          <w:lang w:val="en-US" w:eastAsia="zh-CN"/>
        </w:rPr>
        <w:t>70.11</w:t>
      </w:r>
      <w:r>
        <w:rPr>
          <w:rFonts w:hint="eastAsia" w:ascii="Times New Roman" w:hAnsi="Times New Roman" w:eastAsia="仿宋_GB2312"/>
          <w:color w:val="000000"/>
          <w:sz w:val="32"/>
        </w:rPr>
        <w:t>万元，主要包括：办公费、</w:t>
      </w:r>
      <w:r>
        <w:rPr>
          <w:rFonts w:hint="eastAsia" w:ascii="Times New Roman" w:hAnsi="Times New Roman" w:eastAsia="仿宋_GB2312" w:cs="Times New Roman"/>
          <w:color w:val="000000"/>
          <w:sz w:val="32"/>
        </w:rPr>
        <w:t>水费、邮电费、</w:t>
      </w:r>
      <w:r>
        <w:rPr>
          <w:rFonts w:hint="eastAsia" w:ascii="Times New Roman" w:hAnsi="Times New Roman" w:eastAsia="仿宋_GB2312"/>
          <w:color w:val="000000"/>
          <w:sz w:val="32"/>
        </w:rPr>
        <w:t>维修（护）费、</w:t>
      </w:r>
      <w:r>
        <w:rPr>
          <w:rFonts w:hint="eastAsia" w:ascii="Times New Roman" w:hAnsi="Times New Roman" w:eastAsia="仿宋_GB2312" w:cs="Times New Roman"/>
          <w:color w:val="000000"/>
          <w:sz w:val="32"/>
        </w:rPr>
        <w:t>物业管理费、差旅费、租赁费、公务接待费、劳务费、工会经费、福利费、其他交通费用和其他商品和服务支出。</w:t>
      </w:r>
    </w:p>
    <w:p>
      <w:pPr>
        <w:pStyle w:val="3"/>
        <w:spacing w:line="560" w:lineRule="exact"/>
      </w:pPr>
      <w:bookmarkStart w:id="39" w:name="_Toc110258348"/>
      <w:bookmarkStart w:id="40" w:name="_Toc19906"/>
      <w:bookmarkStart w:id="41" w:name="_Toc3653"/>
      <w:bookmarkStart w:id="42" w:name="_Toc22516"/>
      <w:r>
        <w:rPr>
          <w:rFonts w:hint="eastAsia"/>
        </w:rPr>
        <w:t>七、一般公共预算财政拨款“三公”经费支出决算情况说明</w:t>
      </w:r>
      <w:bookmarkEnd w:id="39"/>
      <w:bookmarkEnd w:id="40"/>
      <w:bookmarkEnd w:id="41"/>
      <w:bookmarkEnd w:id="42"/>
    </w:p>
    <w:p>
      <w:pPr>
        <w:pStyle w:val="3"/>
        <w:spacing w:line="560" w:lineRule="exact"/>
        <w:rPr>
          <w:rFonts w:ascii="楷体_GB2312" w:eastAsia="楷体_GB2312"/>
        </w:rPr>
      </w:pPr>
      <w:bookmarkStart w:id="43" w:name="_Toc110258349"/>
      <w:bookmarkStart w:id="44" w:name="_Toc16300"/>
      <w:r>
        <w:rPr>
          <w:rFonts w:hint="eastAsia" w:ascii="楷体_GB2312" w:eastAsia="楷体_GB2312"/>
        </w:rPr>
        <w:t>（一）“三公”经费财政拨款支出决算总体情况说明</w:t>
      </w:r>
      <w:bookmarkEnd w:id="43"/>
      <w:bookmarkEnd w:id="44"/>
    </w:p>
    <w:p>
      <w:pPr>
        <w:snapToGrid w:val="0"/>
        <w:spacing w:line="560" w:lineRule="exact"/>
        <w:ind w:firstLine="640" w:firstLineChars="200"/>
        <w:rPr>
          <w:rFonts w:ascii="Times New Roman" w:hAnsi="Times New Roman" w:eastAsia="仿宋_GB2312" w:cs="Times New Roman"/>
          <w:color w:val="000000"/>
          <w:sz w:val="32"/>
        </w:rPr>
      </w:pPr>
      <w:r>
        <w:rPr>
          <w:rFonts w:hint="eastAsia" w:ascii="Times New Roman" w:hAnsi="Times New Roman" w:eastAsia="仿宋_GB2312"/>
          <w:color w:val="000000"/>
          <w:sz w:val="32"/>
        </w:rPr>
        <w:t>2021</w:t>
      </w:r>
      <w:r>
        <w:rPr>
          <w:rFonts w:hint="eastAsia" w:ascii="Times New Roman" w:hAnsi="Times New Roman" w:eastAsia="仿宋_GB2312" w:cs="Times New Roman"/>
          <w:color w:val="000000"/>
          <w:sz w:val="32"/>
        </w:rPr>
        <w:t>年度“三公”经费财政拨款支出预算为</w:t>
      </w:r>
      <w:r>
        <w:rPr>
          <w:rFonts w:hint="eastAsia" w:ascii="Times New Roman" w:hAnsi="Times New Roman" w:eastAsia="仿宋_GB2312"/>
          <w:color w:val="000000"/>
          <w:sz w:val="32"/>
          <w:lang w:val="en-US" w:eastAsia="zh-CN"/>
        </w:rPr>
        <w:t>27.00</w:t>
      </w:r>
      <w:r>
        <w:rPr>
          <w:rFonts w:hint="eastAsia" w:ascii="Times New Roman" w:hAnsi="Times New Roman" w:eastAsia="仿宋_GB2312" w:cs="Times New Roman"/>
          <w:color w:val="000000"/>
          <w:sz w:val="32"/>
        </w:rPr>
        <w:t>万元，支出决算为</w:t>
      </w:r>
      <w:r>
        <w:rPr>
          <w:rFonts w:hint="eastAsia" w:ascii="Times New Roman" w:hAnsi="Times New Roman" w:eastAsia="仿宋_GB2312"/>
          <w:color w:val="000000"/>
          <w:sz w:val="32"/>
          <w:lang w:val="en-US" w:eastAsia="zh-CN"/>
        </w:rPr>
        <w:t>15.21</w:t>
      </w:r>
      <w:r>
        <w:rPr>
          <w:rFonts w:hint="eastAsia" w:ascii="Times New Roman" w:hAnsi="Times New Roman" w:eastAsia="仿宋_GB2312" w:cs="Times New Roman"/>
          <w:color w:val="000000"/>
          <w:sz w:val="32"/>
        </w:rPr>
        <w:t>万元，完成预算的</w:t>
      </w:r>
      <w:r>
        <w:rPr>
          <w:rFonts w:hint="eastAsia" w:ascii="Times New Roman" w:hAnsi="Times New Roman" w:eastAsia="仿宋_GB2312" w:cs="Times New Roman"/>
          <w:color w:val="000000"/>
          <w:sz w:val="32"/>
          <w:lang w:val="en-US" w:eastAsia="zh-CN"/>
        </w:rPr>
        <w:t>56.33</w:t>
      </w:r>
      <w:r>
        <w:rPr>
          <w:rFonts w:hint="eastAsia" w:ascii="Times New Roman" w:hAnsi="Times New Roman" w:eastAsia="仿宋_GB2312" w:cs="Times New Roman"/>
          <w:color w:val="000000"/>
          <w:sz w:val="32"/>
        </w:rPr>
        <w:t>%。决算数小于预算数的主要原因</w:t>
      </w:r>
      <w:r>
        <w:rPr>
          <w:rFonts w:hint="eastAsia" w:ascii="Times New Roman" w:hAnsi="Times New Roman" w:eastAsia="仿宋_GB2312"/>
          <w:color w:val="000000"/>
          <w:sz w:val="32"/>
        </w:rPr>
        <w:t>：决算数小于预算数的主要原因：一是受疫情影响，未产生公出国（境）费支出；二是按照党中央、国务院关于过紧日子的有关要求，认真贯彻落实中央“八项规定”精神和厉行节约要求，从严控制“三公”经费开支，厉行节约。</w:t>
      </w:r>
    </w:p>
    <w:p>
      <w:pPr>
        <w:pStyle w:val="3"/>
        <w:numPr>
          <w:ilvl w:val="0"/>
          <w:numId w:val="1"/>
        </w:numPr>
        <w:spacing w:line="560" w:lineRule="exact"/>
        <w:rPr>
          <w:rFonts w:hint="eastAsia" w:ascii="楷体_GB2312" w:eastAsia="楷体_GB2312"/>
        </w:rPr>
      </w:pPr>
      <w:bookmarkStart w:id="45" w:name="_Toc21474"/>
      <w:bookmarkStart w:id="46" w:name="_Toc110258350"/>
      <w:r>
        <w:rPr>
          <w:rFonts w:hint="eastAsia" w:ascii="楷体_GB2312" w:eastAsia="楷体_GB2312"/>
        </w:rPr>
        <w:t>“三公”经费财政拨款支出决算具体情况说明</w:t>
      </w:r>
      <w:bookmarkEnd w:id="45"/>
      <w:bookmarkEnd w:id="46"/>
    </w:p>
    <w:p>
      <w:pPr>
        <w:snapToGrid w:val="0"/>
        <w:spacing w:line="560" w:lineRule="exact"/>
        <w:ind w:firstLine="420" w:firstLineChars="200"/>
        <w:rPr>
          <w:rFonts w:ascii="仿宋_GB2312" w:hAnsi="宋体" w:eastAsia="仿宋_GB2312"/>
          <w:sz w:val="32"/>
          <w:szCs w:val="32"/>
        </w:rPr>
      </w:pPr>
      <w:r>
        <w:rPr>
          <w:rFonts w:hint="eastAsia"/>
          <w:lang w:val="en-US" w:eastAsia="zh-CN"/>
        </w:rPr>
        <w:t xml:space="preserve">    </w:t>
      </w:r>
      <w:r>
        <w:rPr>
          <w:rFonts w:hint="eastAsia" w:ascii="Times New Roman" w:hAnsi="Times New Roman" w:eastAsia="仿宋_GB2312"/>
          <w:color w:val="000000"/>
          <w:sz w:val="32"/>
        </w:rPr>
        <w:t>202</w:t>
      </w:r>
      <w:r>
        <w:rPr>
          <w:rFonts w:hint="eastAsia" w:ascii="Times New Roman" w:hAnsi="Times New Roman" w:eastAsia="仿宋_GB2312"/>
          <w:color w:val="000000"/>
          <w:sz w:val="32"/>
          <w:lang w:val="en-US" w:eastAsia="zh-CN"/>
        </w:rPr>
        <w:t>1</w:t>
      </w:r>
      <w:r>
        <w:rPr>
          <w:rFonts w:hint="eastAsia" w:ascii="Times New Roman" w:hAnsi="Times New Roman" w:eastAsia="仿宋_GB2312"/>
          <w:color w:val="000000"/>
          <w:sz w:val="32"/>
        </w:rPr>
        <w:t>年度“三公”经费财政拨款支出决算中，因公出国（境）费0万元，</w:t>
      </w:r>
      <w:r>
        <w:rPr>
          <w:rFonts w:hint="eastAsia" w:ascii="Times New Roman" w:hAnsi="Times New Roman" w:eastAsia="仿宋_GB2312"/>
          <w:sz w:val="32"/>
        </w:rPr>
        <w:t>占“三公”经费支出的0.00%；公务用车购置及运行费</w:t>
      </w:r>
      <w:r>
        <w:rPr>
          <w:rFonts w:hint="eastAsia" w:ascii="Times New Roman" w:hAnsi="Times New Roman" w:eastAsia="仿宋_GB2312"/>
          <w:color w:val="000000"/>
          <w:kern w:val="0"/>
          <w:sz w:val="32"/>
          <w:szCs w:val="32"/>
          <w:lang w:val="en-US" w:eastAsia="zh-CN"/>
        </w:rPr>
        <w:t>13.94</w:t>
      </w:r>
      <w:r>
        <w:rPr>
          <w:rFonts w:hint="eastAsia" w:ascii="Times New Roman" w:hAnsi="Times New Roman" w:eastAsia="仿宋_GB2312"/>
          <w:sz w:val="32"/>
        </w:rPr>
        <w:t>万元，占“三公”经费支出的</w:t>
      </w:r>
      <w:r>
        <w:rPr>
          <w:rFonts w:hint="eastAsia" w:ascii="Times New Roman" w:hAnsi="Times New Roman" w:eastAsia="仿宋_GB2312"/>
          <w:sz w:val="32"/>
          <w:lang w:val="en-US" w:eastAsia="zh-CN"/>
        </w:rPr>
        <w:t>91.65</w:t>
      </w:r>
      <w:r>
        <w:rPr>
          <w:rFonts w:hint="eastAsia" w:ascii="Times New Roman" w:hAnsi="Times New Roman" w:eastAsia="仿宋_GB2312"/>
          <w:sz w:val="32"/>
        </w:rPr>
        <w:t>%；公务接待费</w:t>
      </w:r>
      <w:r>
        <w:rPr>
          <w:rFonts w:hint="eastAsia" w:ascii="Times New Roman" w:hAnsi="Times New Roman" w:eastAsia="仿宋_GB2312"/>
          <w:color w:val="000000"/>
          <w:kern w:val="0"/>
          <w:sz w:val="32"/>
          <w:szCs w:val="32"/>
          <w:lang w:val="en-US" w:eastAsia="zh-CN"/>
        </w:rPr>
        <w:t>1.27</w:t>
      </w:r>
      <w:r>
        <w:rPr>
          <w:rFonts w:hint="eastAsia" w:ascii="Times New Roman" w:hAnsi="Times New Roman" w:eastAsia="仿宋_GB2312"/>
          <w:sz w:val="32"/>
        </w:rPr>
        <w:t>万元，占“三公”经费支出的</w:t>
      </w:r>
      <w:r>
        <w:rPr>
          <w:rFonts w:hint="eastAsia" w:ascii="Times New Roman" w:hAnsi="Times New Roman" w:eastAsia="仿宋_GB2312"/>
          <w:sz w:val="32"/>
          <w:lang w:val="en-US" w:eastAsia="zh-CN"/>
        </w:rPr>
        <w:t>8.35</w:t>
      </w:r>
      <w:r>
        <w:rPr>
          <w:rFonts w:hint="eastAsia" w:ascii="Times New Roman" w:hAnsi="Times New Roman" w:eastAsia="仿宋_GB2312"/>
          <w:sz w:val="32"/>
        </w:rPr>
        <w:t>%。</w:t>
      </w:r>
      <w:r>
        <w:rPr>
          <w:rFonts w:hint="eastAsia" w:ascii="Times New Roman" w:hAnsi="Times New Roman" w:eastAsia="仿宋_GB2312"/>
          <w:color w:val="000000"/>
          <w:sz w:val="32"/>
        </w:rPr>
        <w:t>具体情况如下：</w:t>
      </w:r>
    </w:p>
    <w:p>
      <w:pPr>
        <w:spacing w:line="560" w:lineRule="exact"/>
        <w:ind w:firstLine="2249" w:firstLineChars="700"/>
        <w:jc w:val="both"/>
        <w:rPr>
          <w:rFonts w:ascii="仿宋_GB2312" w:hAnsi="宋体" w:eastAsia="仿宋_GB2312"/>
          <w:b/>
          <w:sz w:val="32"/>
          <w:szCs w:val="32"/>
        </w:rPr>
      </w:pPr>
      <w:r>
        <w:rPr>
          <w:rFonts w:hint="eastAsia" w:ascii="仿宋_GB2312" w:hAnsi="宋体" w:eastAsia="仿宋_GB2312"/>
          <w:b/>
          <w:sz w:val="32"/>
          <w:szCs w:val="32"/>
        </w:rPr>
        <w:t>图7：“三公”经费财政拨款支出结构</w:t>
      </w:r>
    </w:p>
    <w:p>
      <w:pPr>
        <w:numPr>
          <w:ilvl w:val="0"/>
          <w:numId w:val="0"/>
        </w:numPr>
        <w:rPr>
          <w:rFonts w:hint="default" w:eastAsia="宋体"/>
          <w:lang w:val="en-US" w:eastAsia="zh-CN"/>
        </w:rPr>
      </w:pPr>
      <w:r>
        <w:rPr>
          <w:rFonts w:ascii="仿宋" w:hAnsi="仿宋" w:eastAsia="仿宋"/>
          <w:sz w:val="32"/>
          <w:szCs w:val="32"/>
        </w:rPr>
        <w:object>
          <v:shape id="_x0000_i1027" o:spt="75" type="#_x0000_t75" style="height:278.45pt;width:458.8pt;" o:ole="t" filled="f" o:preferrelative="t" stroked="f" coordsize="21600,21600">
            <v:path/>
            <v:fill on="f" focussize="0,0"/>
            <v:stroke on="f"/>
            <v:imagedata r:id="rId31" o:title=""/>
            <o:lock v:ext="edit" aspectratio="t"/>
            <w10:wrap type="none"/>
            <w10:anchorlock/>
          </v:shape>
          <o:OLEObject Type="Embed" ProgID="MSGraph.Chart.8" ShapeID="_x0000_i1027" DrawAspect="Content" ObjectID="_1468075733" r:id="rId30">
            <o:LockedField>false</o:LockedField>
          </o:OLEObject>
        </w:object>
      </w:r>
    </w:p>
    <w:p>
      <w:pPr>
        <w:numPr>
          <w:ilvl w:val="0"/>
          <w:numId w:val="0"/>
        </w:numPr>
        <w:rPr>
          <w:rFonts w:hint="default" w:eastAsia="宋体"/>
          <w:lang w:val="en-US" w:eastAsia="zh-CN"/>
        </w:rPr>
      </w:pPr>
    </w:p>
    <w:p>
      <w:pPr>
        <w:numPr>
          <w:ilvl w:val="0"/>
          <w:numId w:val="0"/>
        </w:numPr>
        <w:rPr>
          <w:rFonts w:hint="default" w:eastAsia="宋体"/>
          <w:lang w:val="en-US" w:eastAsia="zh-CN"/>
        </w:rPr>
      </w:pPr>
    </w:p>
    <w:p>
      <w:pPr>
        <w:numPr>
          <w:ilvl w:val="0"/>
          <w:numId w:val="0"/>
        </w:numPr>
        <w:rPr>
          <w:rFonts w:hint="default" w:eastAsia="宋体"/>
          <w:lang w:val="en-US" w:eastAsia="zh-CN"/>
        </w:rPr>
      </w:pPr>
    </w:p>
    <w:p>
      <w:pPr>
        <w:spacing w:line="560" w:lineRule="exact"/>
        <w:ind w:firstLine="643" w:firstLineChars="200"/>
        <w:rPr>
          <w:rFonts w:ascii="Times New Roman" w:hAnsi="Times New Roman" w:eastAsia="仿宋_GB2312"/>
          <w:color w:val="000000"/>
          <w:sz w:val="32"/>
        </w:rPr>
      </w:pPr>
      <w:r>
        <w:rPr>
          <w:rFonts w:hint="eastAsia" w:ascii="仿宋_GB2312" w:hAnsi="宋体" w:eastAsia="仿宋_GB2312"/>
          <w:b/>
          <w:sz w:val="32"/>
          <w:szCs w:val="32"/>
        </w:rPr>
        <w:t>1.因公出国（境）费</w:t>
      </w:r>
      <w:r>
        <w:rPr>
          <w:rFonts w:hint="eastAsia" w:ascii="仿宋_GB2312" w:hAnsi="宋体" w:eastAsia="仿宋_GB2312"/>
          <w:sz w:val="32"/>
          <w:szCs w:val="32"/>
        </w:rPr>
        <w:t>预算为</w:t>
      </w:r>
      <w:r>
        <w:rPr>
          <w:rFonts w:hint="eastAsia" w:ascii="Times New Roman" w:hAnsi="Times New Roman" w:eastAsia="仿宋_GB2312" w:cs="Times New Roman"/>
          <w:bCs/>
          <w:color w:val="000000"/>
          <w:sz w:val="32"/>
        </w:rPr>
        <w:t>5.00</w:t>
      </w:r>
      <w:r>
        <w:rPr>
          <w:rFonts w:hint="eastAsia" w:ascii="仿宋_GB2312" w:hAnsi="宋体" w:eastAsia="仿宋_GB2312"/>
          <w:sz w:val="32"/>
          <w:szCs w:val="32"/>
        </w:rPr>
        <w:t>万元，支出决算为</w:t>
      </w:r>
      <w:r>
        <w:rPr>
          <w:rFonts w:hint="eastAsia" w:ascii="Times New Roman" w:hAnsi="Times New Roman" w:eastAsia="仿宋_GB2312" w:cs="Times New Roman"/>
          <w:bCs/>
          <w:color w:val="000000"/>
          <w:sz w:val="32"/>
        </w:rPr>
        <w:t>0</w:t>
      </w:r>
      <w:r>
        <w:rPr>
          <w:rFonts w:hint="eastAsia" w:ascii="仿宋_GB2312" w:hAnsi="宋体" w:eastAsia="仿宋_GB2312"/>
          <w:sz w:val="32"/>
          <w:szCs w:val="32"/>
        </w:rPr>
        <w:t>万元，完成预算的</w:t>
      </w:r>
      <w:r>
        <w:rPr>
          <w:rFonts w:hint="eastAsia" w:ascii="Times New Roman" w:hAnsi="Times New Roman" w:eastAsia="仿宋_GB2312" w:cs="Times New Roman"/>
          <w:bCs/>
          <w:color w:val="000000"/>
          <w:sz w:val="32"/>
        </w:rPr>
        <w:t>0%</w:t>
      </w:r>
      <w:r>
        <w:rPr>
          <w:rFonts w:hint="eastAsia" w:ascii="仿宋_GB2312" w:hAnsi="宋体" w:eastAsia="仿宋_GB2312"/>
          <w:sz w:val="32"/>
          <w:szCs w:val="32"/>
        </w:rPr>
        <w:t>，主要是</w:t>
      </w:r>
      <w:r>
        <w:rPr>
          <w:rFonts w:hint="eastAsia" w:ascii="Times New Roman" w:hAnsi="Times New Roman" w:eastAsia="仿宋_GB2312"/>
          <w:color w:val="000000"/>
          <w:sz w:val="32"/>
        </w:rPr>
        <w:t>受疫情影响，主管单位未组织出国（境）。</w:t>
      </w:r>
    </w:p>
    <w:p>
      <w:pPr>
        <w:spacing w:line="560" w:lineRule="exact"/>
        <w:ind w:firstLine="640" w:firstLineChars="200"/>
        <w:rPr>
          <w:rFonts w:hint="eastAsia" w:ascii="Times New Roman" w:hAnsi="Times New Roman" w:eastAsia="仿宋_GB2312" w:cs="Times New Roman"/>
          <w:sz w:val="32"/>
        </w:rPr>
      </w:pPr>
      <w:r>
        <w:rPr>
          <w:rFonts w:hint="eastAsia" w:ascii="Times New Roman" w:hAnsi="Times New Roman" w:eastAsia="仿宋_GB2312"/>
          <w:color w:val="000000"/>
          <w:sz w:val="32"/>
        </w:rPr>
        <w:t>2.</w:t>
      </w:r>
      <w:r>
        <w:rPr>
          <w:rFonts w:hint="eastAsia" w:ascii="Times New Roman" w:hAnsi="Times New Roman" w:eastAsia="仿宋_GB2312"/>
          <w:b/>
          <w:bCs/>
          <w:color w:val="000000"/>
          <w:sz w:val="32"/>
        </w:rPr>
        <w:t xml:space="preserve"> </w:t>
      </w:r>
      <w:r>
        <w:rPr>
          <w:rFonts w:hint="eastAsia" w:ascii="Times New Roman" w:hAnsi="Times New Roman" w:eastAsia="仿宋_GB2312" w:cs="Times New Roman"/>
          <w:b/>
          <w:bCs/>
          <w:color w:val="000000"/>
          <w:sz w:val="32"/>
        </w:rPr>
        <w:t>公务用车购置及运行费</w:t>
      </w:r>
      <w:r>
        <w:rPr>
          <w:rFonts w:hint="eastAsia" w:ascii="Times New Roman" w:hAnsi="Times New Roman" w:eastAsia="仿宋_GB2312" w:cs="Times New Roman"/>
          <w:bCs/>
          <w:color w:val="000000"/>
          <w:sz w:val="32"/>
        </w:rPr>
        <w:t>预算为</w:t>
      </w:r>
      <w:r>
        <w:rPr>
          <w:rFonts w:hint="eastAsia" w:ascii="Times New Roman" w:hAnsi="Times New Roman" w:eastAsia="仿宋_GB2312" w:cs="Times New Roman"/>
          <w:bCs/>
          <w:color w:val="000000"/>
          <w:sz w:val="32"/>
          <w:lang w:val="en-US" w:eastAsia="zh-CN"/>
        </w:rPr>
        <w:t>20.00</w:t>
      </w:r>
      <w:r>
        <w:rPr>
          <w:rFonts w:hint="eastAsia" w:ascii="Times New Roman" w:hAnsi="Times New Roman" w:eastAsia="仿宋_GB2312" w:cs="Times New Roman"/>
          <w:bCs/>
          <w:color w:val="000000"/>
          <w:sz w:val="32"/>
        </w:rPr>
        <w:t>万元，</w:t>
      </w:r>
      <w:r>
        <w:rPr>
          <w:rFonts w:hint="eastAsia" w:ascii="Times New Roman" w:hAnsi="Times New Roman" w:eastAsia="仿宋_GB2312" w:cs="仿宋_GB2312"/>
          <w:sz w:val="32"/>
          <w:szCs w:val="40"/>
        </w:rPr>
        <w:t>支出决算为</w:t>
      </w:r>
      <w:r>
        <w:rPr>
          <w:rFonts w:hint="eastAsia" w:ascii="Times New Roman" w:hAnsi="Times New Roman" w:eastAsia="仿宋_GB2312" w:cs="仿宋_GB2312"/>
          <w:sz w:val="32"/>
          <w:szCs w:val="40"/>
          <w:lang w:val="en-US" w:eastAsia="zh-CN"/>
        </w:rPr>
        <w:t>13.94万</w:t>
      </w:r>
      <w:r>
        <w:rPr>
          <w:rFonts w:hint="eastAsia" w:ascii="Times New Roman" w:hAnsi="Times New Roman" w:eastAsia="仿宋_GB2312" w:cs="仿宋_GB2312"/>
          <w:sz w:val="32"/>
          <w:szCs w:val="40"/>
        </w:rPr>
        <w:t>元，完成预算的</w:t>
      </w:r>
      <w:r>
        <w:rPr>
          <w:rFonts w:hint="eastAsia" w:ascii="Times New Roman" w:hAnsi="Times New Roman" w:eastAsia="仿宋_GB2312" w:cs="仿宋_GB2312"/>
          <w:sz w:val="32"/>
          <w:szCs w:val="40"/>
          <w:lang w:val="en-US" w:eastAsia="zh-CN"/>
        </w:rPr>
        <w:t>69.7</w:t>
      </w:r>
      <w:r>
        <w:rPr>
          <w:rFonts w:hint="eastAsia" w:ascii="Times New Roman" w:hAnsi="Times New Roman" w:eastAsia="仿宋_GB2312" w:cs="仿宋_GB2312"/>
          <w:sz w:val="32"/>
          <w:szCs w:val="40"/>
        </w:rPr>
        <w:t>%，均为公务用车运行费支出。</w:t>
      </w:r>
      <w:r>
        <w:rPr>
          <w:rFonts w:hint="eastAsia" w:ascii="Times New Roman" w:hAnsi="Times New Roman" w:eastAsia="仿宋_GB2312" w:cs="Times New Roman"/>
          <w:sz w:val="32"/>
        </w:rPr>
        <w:t>主要是按规定保留的公务用车的</w:t>
      </w:r>
      <w:r>
        <w:rPr>
          <w:rFonts w:hint="eastAsia" w:ascii="Times New Roman" w:hAnsi="Times New Roman" w:eastAsia="仿宋_GB2312"/>
          <w:sz w:val="32"/>
        </w:rPr>
        <w:t>燃油费、维修费、保险</w:t>
      </w:r>
      <w:r>
        <w:rPr>
          <w:rFonts w:hint="eastAsia" w:ascii="Times New Roman" w:hAnsi="Times New Roman" w:eastAsia="仿宋_GB2312" w:cs="Times New Roman"/>
          <w:sz w:val="32"/>
        </w:rPr>
        <w:t>费等支出。截至202</w:t>
      </w:r>
      <w:r>
        <w:rPr>
          <w:rFonts w:hint="eastAsia" w:ascii="Times New Roman" w:hAnsi="Times New Roman" w:eastAsia="仿宋_GB2312" w:cs="Times New Roman"/>
          <w:sz w:val="32"/>
          <w:lang w:val="en-US" w:eastAsia="zh-CN"/>
        </w:rPr>
        <w:t>1</w:t>
      </w:r>
      <w:r>
        <w:rPr>
          <w:rFonts w:hint="eastAsia" w:ascii="Times New Roman" w:hAnsi="Times New Roman" w:eastAsia="仿宋_GB2312" w:cs="Times New Roman"/>
          <w:sz w:val="32"/>
        </w:rPr>
        <w:t>年12月31日，我单位公务用车保有量为5辆。</w:t>
      </w:r>
    </w:p>
    <w:p>
      <w:pPr>
        <w:spacing w:line="560" w:lineRule="exact"/>
        <w:ind w:firstLine="643" w:firstLineChars="200"/>
        <w:rPr>
          <w:rFonts w:ascii="仿宋_GB2312" w:hAnsi="宋体" w:eastAsia="仿宋_GB2312"/>
          <w:sz w:val="32"/>
          <w:szCs w:val="32"/>
        </w:rPr>
      </w:pPr>
      <w:r>
        <w:rPr>
          <w:rFonts w:hint="eastAsia" w:ascii="Times New Roman" w:hAnsi="Times New Roman" w:eastAsia="仿宋_GB2312" w:cs="Times New Roman"/>
          <w:b/>
          <w:bCs/>
          <w:color w:val="000000"/>
          <w:sz w:val="32"/>
        </w:rPr>
        <w:t>3. 公务接待费</w:t>
      </w:r>
      <w:r>
        <w:rPr>
          <w:rFonts w:hint="eastAsia" w:ascii="Times New Roman" w:hAnsi="Times New Roman" w:eastAsia="仿宋_GB2312" w:cs="Times New Roman"/>
          <w:bCs/>
          <w:color w:val="000000"/>
          <w:sz w:val="32"/>
        </w:rPr>
        <w:t>预算为2.</w:t>
      </w:r>
      <w:r>
        <w:rPr>
          <w:rFonts w:hint="eastAsia" w:ascii="Times New Roman" w:hAnsi="Times New Roman" w:eastAsia="仿宋_GB2312" w:cs="Times New Roman"/>
          <w:bCs/>
          <w:color w:val="000000"/>
          <w:sz w:val="32"/>
          <w:lang w:val="en-US" w:eastAsia="zh-CN"/>
        </w:rPr>
        <w:t>00</w:t>
      </w:r>
      <w:r>
        <w:rPr>
          <w:rFonts w:hint="eastAsia" w:ascii="Times New Roman" w:hAnsi="Times New Roman" w:eastAsia="仿宋_GB2312" w:cs="Times New Roman"/>
          <w:bCs/>
          <w:color w:val="000000"/>
          <w:sz w:val="32"/>
        </w:rPr>
        <w:t>万元，</w:t>
      </w:r>
      <w:r>
        <w:rPr>
          <w:rFonts w:hint="eastAsia" w:ascii="Times New Roman" w:hAnsi="Times New Roman" w:eastAsia="仿宋_GB2312" w:cs="Times New Roman"/>
          <w:sz w:val="32"/>
        </w:rPr>
        <w:t>支出决算为</w:t>
      </w:r>
      <w:r>
        <w:rPr>
          <w:rFonts w:hint="eastAsia" w:ascii="Times New Roman" w:hAnsi="Times New Roman" w:eastAsia="仿宋_GB2312"/>
          <w:sz w:val="32"/>
          <w:lang w:val="en-US" w:eastAsia="zh-CN"/>
        </w:rPr>
        <w:t>1.27</w:t>
      </w:r>
      <w:r>
        <w:rPr>
          <w:rFonts w:hint="eastAsia" w:ascii="Times New Roman" w:hAnsi="Times New Roman" w:eastAsia="仿宋_GB2312" w:cs="Times New Roman"/>
          <w:sz w:val="32"/>
        </w:rPr>
        <w:t>万元，完成预算的</w:t>
      </w:r>
      <w:r>
        <w:rPr>
          <w:rFonts w:hint="eastAsia" w:ascii="Times New Roman" w:hAnsi="Times New Roman" w:eastAsia="仿宋_GB2312" w:cs="Times New Roman"/>
          <w:sz w:val="32"/>
          <w:lang w:val="en-US" w:eastAsia="zh-CN"/>
        </w:rPr>
        <w:t>63.5</w:t>
      </w:r>
      <w:r>
        <w:rPr>
          <w:rFonts w:hint="eastAsia" w:ascii="Times New Roman" w:hAnsi="Times New Roman" w:eastAsia="仿宋_GB2312" w:cs="Times New Roman"/>
          <w:sz w:val="32"/>
        </w:rPr>
        <w:t>%，主要用于工业和信息化部所属单位与国内相关单位交流工作等情况发生的接待支出。</w:t>
      </w:r>
      <w:r>
        <w:rPr>
          <w:rFonts w:hint="eastAsia" w:ascii="Times New Roman" w:hAnsi="Times New Roman" w:eastAsia="仿宋_GB2312" w:cs="Times New Roman"/>
          <w:color w:val="000000"/>
          <w:sz w:val="32"/>
        </w:rPr>
        <w:t>2021年发生国内公务接待</w:t>
      </w:r>
      <w:r>
        <w:rPr>
          <w:rFonts w:hint="eastAsia" w:ascii="Times New Roman" w:hAnsi="Times New Roman" w:eastAsia="仿宋_GB2312"/>
          <w:color w:val="000000"/>
          <w:sz w:val="32"/>
        </w:rPr>
        <w:t>8</w:t>
      </w:r>
      <w:r>
        <w:rPr>
          <w:rFonts w:hint="eastAsia" w:ascii="Times New Roman" w:hAnsi="Times New Roman" w:eastAsia="仿宋_GB2312" w:cs="Times New Roman"/>
          <w:color w:val="000000"/>
          <w:sz w:val="32"/>
        </w:rPr>
        <w:t>批次，共</w:t>
      </w:r>
      <w:r>
        <w:rPr>
          <w:rFonts w:hint="eastAsia" w:ascii="Times New Roman" w:hAnsi="Times New Roman" w:eastAsia="仿宋_GB2312"/>
          <w:color w:val="000000"/>
          <w:sz w:val="32"/>
          <w:lang w:val="en-US" w:eastAsia="zh-CN"/>
        </w:rPr>
        <w:t>78</w:t>
      </w:r>
      <w:r>
        <w:rPr>
          <w:rFonts w:hint="eastAsia" w:ascii="Times New Roman" w:hAnsi="Times New Roman" w:eastAsia="仿宋_GB2312" w:cs="Times New Roman"/>
          <w:color w:val="000000"/>
          <w:sz w:val="32"/>
        </w:rPr>
        <w:t>人次</w:t>
      </w:r>
      <w:r>
        <w:rPr>
          <w:rFonts w:hint="eastAsia" w:ascii="Times New Roman" w:hAnsi="Times New Roman" w:eastAsia="仿宋_GB2312"/>
          <w:color w:val="000000"/>
          <w:sz w:val="32"/>
        </w:rPr>
        <w:t>。</w:t>
      </w:r>
    </w:p>
    <w:p>
      <w:pPr>
        <w:pStyle w:val="3"/>
        <w:spacing w:line="560" w:lineRule="exact"/>
        <w:rPr>
          <w:rFonts w:ascii="Times New Roman" w:hAnsi="Times New Roman"/>
        </w:rPr>
      </w:pPr>
      <w:bookmarkStart w:id="47" w:name="_Toc110258351"/>
      <w:r>
        <w:rPr>
          <w:rFonts w:hint="eastAsia" w:ascii="Times New Roman" w:hAnsi="Times New Roman"/>
        </w:rPr>
        <w:t>八、预算绩效情况说明</w:t>
      </w:r>
      <w:bookmarkEnd w:id="47"/>
    </w:p>
    <w:p>
      <w:pPr>
        <w:autoSpaceDE w:val="0"/>
        <w:spacing w:line="560" w:lineRule="exact"/>
        <w:ind w:firstLine="640" w:firstLineChars="200"/>
        <w:rPr>
          <w:rFonts w:hint="eastAsia" w:ascii="楷体_GB2312" w:hAnsi="Times New Roman" w:eastAsia="楷体_GB2312" w:cs="仿宋_GB2312"/>
          <w:sz w:val="32"/>
          <w:szCs w:val="32"/>
        </w:rPr>
      </w:pPr>
      <w:r>
        <w:rPr>
          <w:rFonts w:hint="eastAsia" w:ascii="楷体_GB2312" w:hAnsi="Times New Roman" w:eastAsia="楷体_GB2312" w:cs="仿宋_GB2312"/>
          <w:sz w:val="32"/>
          <w:szCs w:val="32"/>
        </w:rPr>
        <w:t>（一）预算绩效管理工作开展情况</w:t>
      </w:r>
    </w:p>
    <w:p>
      <w:pPr>
        <w:spacing w:line="560" w:lineRule="exact"/>
        <w:ind w:firstLine="640"/>
        <w:rPr>
          <w:rFonts w:hint="eastAsia" w:ascii="仿宋_GB2312" w:hAnsi="Times New Roman" w:eastAsia="仿宋_GB2312" w:cs="Times New Roman"/>
          <w:color w:val="000000"/>
          <w:sz w:val="32"/>
        </w:rPr>
      </w:pPr>
      <w:r>
        <w:rPr>
          <w:rFonts w:hint="eastAsia" w:ascii="仿宋_GB2312" w:hAnsi="Times New Roman" w:eastAsia="仿宋_GB2312" w:cs="Times New Roman"/>
          <w:color w:val="000000"/>
          <w:sz w:val="32"/>
        </w:rPr>
        <w:t>根据预算绩效管理要求，我单位对</w:t>
      </w:r>
      <w:r>
        <w:rPr>
          <w:rFonts w:hint="eastAsia" w:ascii="Times New Roman" w:hAnsi="Times New Roman" w:eastAsia="仿宋_GB2312" w:cs="Times New Roman"/>
          <w:color w:val="000000"/>
          <w:sz w:val="32"/>
        </w:rPr>
        <w:t>2021</w:t>
      </w:r>
      <w:r>
        <w:rPr>
          <w:rFonts w:hint="eastAsia" w:ascii="仿宋_GB2312" w:hAnsi="Times New Roman" w:eastAsia="仿宋_GB2312" w:cs="Times New Roman"/>
          <w:color w:val="000000"/>
          <w:sz w:val="32"/>
        </w:rPr>
        <w:t>年度</w:t>
      </w:r>
      <w:r>
        <w:rPr>
          <w:rFonts w:hint="eastAsia" w:ascii="Times New Roman" w:hAnsi="Times New Roman" w:eastAsia="仿宋_GB2312" w:cs="Times New Roman"/>
          <w:color w:val="000000"/>
          <w:sz w:val="32"/>
          <w:lang w:val="en-US" w:eastAsia="zh-CN"/>
        </w:rPr>
        <w:t>4</w:t>
      </w:r>
      <w:r>
        <w:rPr>
          <w:rFonts w:hint="eastAsia" w:ascii="仿宋_GB2312" w:hAnsi="Times New Roman" w:eastAsia="仿宋_GB2312" w:cs="Times New Roman"/>
          <w:color w:val="000000"/>
          <w:sz w:val="32"/>
        </w:rPr>
        <w:t>个一般公共预算项目，</w:t>
      </w:r>
      <w:r>
        <w:rPr>
          <w:rFonts w:hint="eastAsia" w:ascii="Times New Roman" w:hAnsi="Times New Roman" w:eastAsia="仿宋_GB2312" w:cs="Times New Roman"/>
          <w:color w:val="000000"/>
          <w:sz w:val="32"/>
          <w:lang w:val="en-US" w:eastAsia="zh-CN"/>
        </w:rPr>
        <w:t>1</w:t>
      </w:r>
      <w:r>
        <w:rPr>
          <w:rFonts w:hint="eastAsia" w:ascii="仿宋_GB2312" w:hAnsi="Times New Roman" w:eastAsia="仿宋_GB2312" w:cs="Times New Roman"/>
          <w:color w:val="000000"/>
          <w:sz w:val="32"/>
        </w:rPr>
        <w:t>个非财政拨款项目全面开展绩效自评，覆盖率</w:t>
      </w:r>
      <w:r>
        <w:rPr>
          <w:rFonts w:hint="eastAsia" w:ascii="Times New Roman" w:hAnsi="Times New Roman" w:eastAsia="仿宋_GB2312" w:cs="Times New Roman"/>
          <w:color w:val="000000"/>
          <w:sz w:val="32"/>
          <w:lang w:val="en-US" w:eastAsia="zh-CN"/>
        </w:rPr>
        <w:t>100%</w:t>
      </w:r>
      <w:r>
        <w:rPr>
          <w:rFonts w:hint="eastAsia" w:ascii="仿宋_GB2312" w:hAnsi="Times New Roman" w:eastAsia="仿宋_GB2312" w:cs="Times New Roman"/>
          <w:color w:val="000000"/>
          <w:sz w:val="32"/>
        </w:rPr>
        <w:t>。</w:t>
      </w:r>
    </w:p>
    <w:p>
      <w:pPr>
        <w:spacing w:line="560" w:lineRule="exact"/>
        <w:ind w:firstLine="640"/>
        <w:rPr>
          <w:rFonts w:hint="eastAsia" w:ascii="楷体_GB2312" w:hAnsi="Times New Roman" w:eastAsia="楷体_GB2312" w:cs="Times New Roman"/>
          <w:color w:val="000000"/>
          <w:sz w:val="32"/>
        </w:rPr>
      </w:pPr>
      <w:r>
        <w:rPr>
          <w:rFonts w:hint="eastAsia" w:ascii="楷体_GB2312" w:hAnsi="Times New Roman" w:eastAsia="楷体_GB2312" w:cs="Times New Roman"/>
          <w:color w:val="000000"/>
          <w:sz w:val="32"/>
        </w:rPr>
        <w:t>（二）部门决算中项目绩效自评结果</w:t>
      </w:r>
    </w:p>
    <w:p>
      <w:pPr>
        <w:spacing w:line="560" w:lineRule="exact"/>
        <w:ind w:firstLine="640"/>
        <w:rPr>
          <w:rFonts w:hint="eastAsia"/>
        </w:rPr>
      </w:pPr>
      <w:r>
        <w:rPr>
          <w:rFonts w:hint="eastAsia" w:ascii="仿宋_GB2312" w:hAnsi="Times New Roman" w:eastAsia="仿宋_GB2312" w:cs="Times New Roman"/>
          <w:color w:val="000000"/>
          <w:sz w:val="32"/>
        </w:rPr>
        <w:t>从评价情况来看，各项目立项依据充分，立项程序规范，管理制度较为健全，组织实施较为有效，较好地实现了预期绩效目标。但评价也发现一些问题，如个别项目预算执行率偏低，项目实施进度缓慢等，将在下一步工作中予以改进。</w:t>
      </w:r>
      <w:bookmarkStart w:id="48" w:name="_Toc110258352"/>
    </w:p>
    <w:p>
      <w:pPr>
        <w:pStyle w:val="3"/>
        <w:spacing w:line="560" w:lineRule="exact"/>
        <w:ind w:left="0" w:leftChars="0" w:firstLine="0" w:firstLineChars="0"/>
        <w:rPr>
          <w:rFonts w:hint="eastAsia"/>
        </w:rPr>
      </w:pPr>
    </w:p>
    <w:p>
      <w:pPr>
        <w:pStyle w:val="3"/>
        <w:spacing w:line="560" w:lineRule="exact"/>
        <w:ind w:left="0" w:leftChars="0" w:firstLine="640" w:firstLineChars="200"/>
        <w:rPr>
          <w:rFonts w:hint="eastAsia"/>
        </w:rPr>
      </w:pPr>
    </w:p>
    <w:p>
      <w:pPr>
        <w:pStyle w:val="3"/>
        <w:spacing w:line="560" w:lineRule="exact"/>
        <w:ind w:left="0" w:leftChars="0" w:firstLine="640" w:firstLineChars="200"/>
        <w:rPr>
          <w:rFonts w:hint="eastAsia"/>
        </w:rPr>
      </w:pPr>
    </w:p>
    <w:bookmarkEnd w:id="48"/>
    <w:p>
      <w:pPr>
        <w:spacing w:line="560" w:lineRule="exact"/>
        <w:ind w:firstLine="640" w:firstLineChars="200"/>
        <w:rPr>
          <w:rFonts w:hint="eastAsia" w:ascii="Times New Roman" w:hAnsi="Times New Roman" w:eastAsia="仿宋_GB2312" w:cs="Times New Roman"/>
          <w:sz w:val="32"/>
        </w:rPr>
      </w:pPr>
    </w:p>
    <w:p>
      <w:pPr>
        <w:spacing w:line="560" w:lineRule="exact"/>
        <w:ind w:firstLine="640" w:firstLineChars="200"/>
        <w:rPr>
          <w:rFonts w:hint="eastAsia" w:ascii="Times New Roman" w:hAnsi="Times New Roman" w:eastAsia="仿宋_GB2312" w:cs="Times New Roman"/>
          <w:sz w:val="32"/>
        </w:rPr>
      </w:pPr>
    </w:p>
    <w:p>
      <w:pPr>
        <w:pStyle w:val="3"/>
        <w:spacing w:line="560" w:lineRule="exact"/>
        <w:ind w:left="0" w:leftChars="0" w:firstLine="640" w:firstLineChars="200"/>
        <w:rPr>
          <w:rFonts w:hint="eastAsia"/>
        </w:rPr>
      </w:pPr>
      <w:r>
        <w:rPr>
          <w:rFonts w:hint="eastAsia"/>
        </w:rPr>
        <w:t>九、其他重要事项的情况说明</w:t>
      </w:r>
    </w:p>
    <w:p>
      <w:pPr>
        <w:spacing w:line="560" w:lineRule="exact"/>
        <w:ind w:firstLine="640" w:firstLineChars="20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（一）</w:t>
      </w:r>
      <w:r>
        <w:rPr>
          <w:rFonts w:hint="eastAsia" w:ascii="楷体_GB2312" w:eastAsia="楷体_GB2312"/>
          <w:sz w:val="32"/>
          <w:szCs w:val="32"/>
        </w:rPr>
        <w:t>机关运行经费支出说明</w:t>
      </w:r>
    </w:p>
    <w:p>
      <w:pPr>
        <w:spacing w:line="560" w:lineRule="exact"/>
        <w:ind w:firstLine="640" w:firstLineChars="200"/>
        <w:rPr>
          <w:rFonts w:hint="eastAsia" w:ascii="Times New Roman" w:hAnsi="Times New Roman" w:eastAsia="仿宋_GB2312" w:cs="Times New Roman"/>
          <w:sz w:val="32"/>
        </w:rPr>
      </w:pPr>
      <w:r>
        <w:rPr>
          <w:rFonts w:hint="eastAsia" w:ascii="Times New Roman" w:hAnsi="Times New Roman" w:eastAsia="仿宋_GB2312" w:cs="Times New Roman"/>
          <w:sz w:val="32"/>
        </w:rPr>
        <w:t>2021</w:t>
      </w:r>
      <w:r>
        <w:rPr>
          <w:rFonts w:ascii="Times New Roman" w:hAnsi="Times New Roman" w:eastAsia="仿宋_GB2312" w:cs="Times New Roman"/>
          <w:sz w:val="32"/>
        </w:rPr>
        <w:t>年度机关运行经费支出</w:t>
      </w:r>
      <w:r>
        <w:rPr>
          <w:rFonts w:hint="eastAsia" w:ascii="Times New Roman" w:hAnsi="Times New Roman" w:eastAsia="仿宋_GB2312" w:cs="Times New Roman"/>
          <w:sz w:val="32"/>
          <w:lang w:val="en-US" w:eastAsia="zh-CN"/>
        </w:rPr>
        <w:t>70.11</w:t>
      </w:r>
      <w:r>
        <w:rPr>
          <w:rFonts w:hint="eastAsia" w:ascii="Times New Roman" w:hAnsi="Times New Roman" w:eastAsia="仿宋_GB2312" w:cs="Times New Roman"/>
          <w:sz w:val="32"/>
        </w:rPr>
        <w:t>万元，比2020年度减少</w:t>
      </w:r>
      <w:r>
        <w:rPr>
          <w:rFonts w:hint="eastAsia" w:ascii="Times New Roman" w:hAnsi="Times New Roman" w:eastAsia="仿宋_GB2312" w:cs="Times New Roman"/>
          <w:sz w:val="32"/>
          <w:lang w:val="en-US" w:eastAsia="zh-CN"/>
        </w:rPr>
        <w:t>7.66</w:t>
      </w:r>
      <w:r>
        <w:rPr>
          <w:rFonts w:hint="eastAsia" w:ascii="Times New Roman" w:hAnsi="Times New Roman" w:eastAsia="仿宋_GB2312" w:cs="Times New Roman"/>
          <w:sz w:val="32"/>
        </w:rPr>
        <w:t>万元，下降</w:t>
      </w:r>
      <w:r>
        <w:rPr>
          <w:rFonts w:hint="eastAsia" w:ascii="Times New Roman" w:hAnsi="Times New Roman" w:eastAsia="仿宋_GB2312" w:cs="Times New Roman"/>
          <w:sz w:val="32"/>
          <w:lang w:val="en-US" w:eastAsia="zh-CN"/>
        </w:rPr>
        <w:t>9.85</w:t>
      </w:r>
      <w:r>
        <w:rPr>
          <w:rFonts w:hint="eastAsia" w:ascii="Times New Roman" w:hAnsi="Times New Roman" w:eastAsia="仿宋_GB2312" w:cs="Times New Roman"/>
          <w:sz w:val="32"/>
        </w:rPr>
        <w:t>%，主要原因是按照党中央、国务院关于过紧日子的有关要求，厉行节约，压减公用经费。</w:t>
      </w:r>
    </w:p>
    <w:p>
      <w:pPr>
        <w:spacing w:line="560" w:lineRule="exact"/>
        <w:ind w:firstLine="640" w:firstLineChars="20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（二）</w:t>
      </w:r>
      <w:r>
        <w:rPr>
          <w:rFonts w:hint="eastAsia" w:ascii="楷体_GB2312" w:eastAsia="楷体_GB2312"/>
          <w:sz w:val="32"/>
          <w:szCs w:val="32"/>
        </w:rPr>
        <w:t>政府采购支出说明</w:t>
      </w:r>
    </w:p>
    <w:p>
      <w:pPr>
        <w:spacing w:line="560" w:lineRule="exact"/>
        <w:ind w:left="638" w:leftChars="304" w:firstLine="0" w:firstLineChars="0"/>
        <w:rPr>
          <w:rFonts w:hint="eastAsia" w:ascii="楷体_GB2312" w:eastAsia="楷体_GB2312"/>
          <w:sz w:val="32"/>
          <w:szCs w:val="32"/>
        </w:rPr>
      </w:pPr>
      <w:r>
        <w:rPr>
          <w:rFonts w:hint="eastAsia" w:ascii="Times New Roman" w:hAnsi="Times New Roman" w:eastAsia="仿宋_GB2312" w:cs="Times New Roman"/>
          <w:sz w:val="32"/>
          <w:szCs w:val="32"/>
        </w:rPr>
        <w:t>2021</w:t>
      </w:r>
      <w:r>
        <w:rPr>
          <w:rFonts w:ascii="Times New Roman" w:hAnsi="Times New Roman" w:eastAsia="仿宋_GB2312" w:cs="Times New Roman"/>
          <w:sz w:val="32"/>
          <w:szCs w:val="32"/>
        </w:rPr>
        <w:t>年度政府采购支出总额</w:t>
      </w:r>
      <w:r>
        <w:rPr>
          <w:rFonts w:hint="eastAsia" w:ascii="Times New Roman" w:hAnsi="Times New Roman" w:eastAsia="仿宋_GB2312" w:cs="Times New Roman"/>
          <w:sz w:val="32"/>
          <w:szCs w:val="32"/>
          <w:lang w:val="en-US" w:eastAsia="zh-CN"/>
        </w:rPr>
        <w:t>100.91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政府采购</w:t>
      </w:r>
      <w:r>
        <w:rPr>
          <w:rFonts w:hint="eastAsia" w:ascii="Times New Roman" w:hAnsi="Times New Roman" w:eastAsia="仿宋_GB2312" w:cs="Times New Roman"/>
          <w:sz w:val="32"/>
          <w:szCs w:val="32"/>
          <w:lang w:eastAsia="zh-CN"/>
        </w:rPr>
        <w:t>服务</w:t>
      </w:r>
      <w:r>
        <w:rPr>
          <w:rFonts w:ascii="Times New Roman" w:hAnsi="Times New Roman" w:eastAsia="仿宋_GB2312" w:cs="Times New Roman"/>
          <w:sz w:val="32"/>
          <w:szCs w:val="32"/>
        </w:rPr>
        <w:t>支出。</w:t>
      </w:r>
      <w:r>
        <w:rPr>
          <w:rFonts w:hint="eastAsia" w:ascii="楷体_GB2312" w:hAnsi="Times New Roman" w:eastAsia="楷体_GB2312" w:cs="Times New Roman"/>
          <w:sz w:val="32"/>
          <w:szCs w:val="32"/>
        </w:rPr>
        <w:t>（三）</w:t>
      </w:r>
      <w:r>
        <w:rPr>
          <w:rFonts w:hint="eastAsia" w:ascii="楷体_GB2312" w:eastAsia="楷体_GB2312"/>
          <w:sz w:val="32"/>
          <w:szCs w:val="32"/>
        </w:rPr>
        <w:t>国有资产占用情况说明</w:t>
      </w:r>
    </w:p>
    <w:p>
      <w:pPr>
        <w:autoSpaceDE w:val="0"/>
        <w:spacing w:line="560" w:lineRule="exact"/>
        <w:ind w:firstLine="640" w:firstLineChars="200"/>
        <w:rPr>
          <w:rFonts w:ascii="仿宋_GB2312" w:hAnsi="Times New Roman" w:eastAsia="仿宋_GB2312" w:cs="Times New Roman"/>
          <w:color w:val="000000"/>
          <w:sz w:val="32"/>
        </w:rPr>
      </w:pPr>
      <w:r>
        <w:rPr>
          <w:rFonts w:hint="eastAsia" w:ascii="仿宋_GB2312" w:hAnsi="Times New Roman" w:eastAsia="仿宋_GB2312" w:cs="Times New Roman"/>
          <w:color w:val="000000"/>
          <w:sz w:val="32"/>
        </w:rPr>
        <w:t>截至</w:t>
      </w:r>
      <w:r>
        <w:rPr>
          <w:rFonts w:hint="eastAsia" w:ascii="Times New Roman" w:hAnsi="Times New Roman" w:eastAsia="仿宋_GB2312" w:cs="Times New Roman"/>
          <w:b w:val="0"/>
          <w:bCs w:val="0"/>
          <w:sz w:val="32"/>
          <w:szCs w:val="32"/>
          <w:lang w:val="en-US" w:eastAsia="zh-CN"/>
        </w:rPr>
        <w:t>2021</w:t>
      </w:r>
      <w:r>
        <w:rPr>
          <w:rFonts w:hint="eastAsia" w:ascii="仿宋_GB2312" w:hAnsi="Times New Roman" w:eastAsia="仿宋_GB2312" w:cs="Times New Roman"/>
          <w:color w:val="000000"/>
          <w:sz w:val="32"/>
        </w:rPr>
        <w:t>年</w:t>
      </w:r>
      <w:r>
        <w:rPr>
          <w:rFonts w:hint="eastAsia" w:ascii="Times New Roman" w:hAnsi="Times New Roman" w:eastAsia="仿宋_GB2312" w:cs="Times New Roman"/>
          <w:b w:val="0"/>
          <w:bCs w:val="0"/>
          <w:sz w:val="32"/>
          <w:szCs w:val="32"/>
          <w:lang w:val="en-US" w:eastAsia="zh-CN"/>
        </w:rPr>
        <w:t>12</w:t>
      </w:r>
      <w:r>
        <w:rPr>
          <w:rFonts w:hint="eastAsia" w:ascii="仿宋_GB2312" w:hAnsi="Times New Roman" w:eastAsia="仿宋_GB2312" w:cs="Times New Roman"/>
          <w:color w:val="000000"/>
          <w:sz w:val="32"/>
        </w:rPr>
        <w:t>月</w:t>
      </w:r>
      <w:r>
        <w:rPr>
          <w:rFonts w:hint="eastAsia" w:ascii="Times New Roman" w:hAnsi="Times New Roman" w:eastAsia="仿宋_GB2312" w:cs="Times New Roman"/>
          <w:b w:val="0"/>
          <w:bCs w:val="0"/>
          <w:sz w:val="32"/>
          <w:szCs w:val="32"/>
          <w:lang w:val="en-US" w:eastAsia="zh-CN"/>
        </w:rPr>
        <w:t>31</w:t>
      </w:r>
      <w:r>
        <w:rPr>
          <w:rFonts w:hint="eastAsia" w:ascii="仿宋_GB2312" w:hAnsi="Times New Roman" w:eastAsia="仿宋_GB2312" w:cs="Times New Roman"/>
          <w:color w:val="000000"/>
          <w:sz w:val="32"/>
        </w:rPr>
        <w:t>日，我单位共有车辆</w:t>
      </w:r>
      <w:r>
        <w:rPr>
          <w:rFonts w:hint="eastAsia" w:ascii="Times New Roman" w:hAnsi="Times New Roman" w:eastAsia="仿宋_GB2312" w:cs="Times New Roman"/>
          <w:b w:val="0"/>
          <w:bCs w:val="0"/>
          <w:sz w:val="32"/>
          <w:szCs w:val="32"/>
          <w:lang w:val="en-US" w:eastAsia="zh-CN"/>
        </w:rPr>
        <w:t>5</w:t>
      </w:r>
      <w:r>
        <w:rPr>
          <w:rFonts w:hint="eastAsia" w:ascii="仿宋_GB2312" w:hAnsi="Times New Roman" w:eastAsia="仿宋_GB2312" w:cs="Times New Roman"/>
          <w:color w:val="000000"/>
          <w:sz w:val="32"/>
        </w:rPr>
        <w:t>辆，其中：</w:t>
      </w:r>
      <w:r>
        <w:rPr>
          <w:rFonts w:hint="eastAsia" w:ascii="仿宋_GB2312" w:hAnsi="Times New Roman" w:eastAsia="仿宋_GB2312" w:cs="Times New Roman"/>
          <w:color w:val="000000"/>
          <w:sz w:val="32"/>
          <w:lang w:eastAsia="zh-CN"/>
        </w:rPr>
        <w:t>主要领导干部用车</w:t>
      </w:r>
      <w:r>
        <w:rPr>
          <w:rFonts w:hint="eastAsia" w:ascii="Times New Roman" w:hAnsi="Times New Roman" w:eastAsia="仿宋_GB2312" w:cs="Times New Roman"/>
          <w:b w:val="0"/>
          <w:bCs w:val="0"/>
          <w:sz w:val="32"/>
          <w:szCs w:val="32"/>
          <w:lang w:val="en-US" w:eastAsia="zh-CN"/>
        </w:rPr>
        <w:t>1</w:t>
      </w:r>
      <w:r>
        <w:rPr>
          <w:rFonts w:hint="eastAsia" w:ascii="仿宋_GB2312" w:hAnsi="Times New Roman" w:eastAsia="仿宋_GB2312" w:cs="Times New Roman"/>
          <w:color w:val="000000"/>
          <w:sz w:val="32"/>
          <w:lang w:val="en-US" w:eastAsia="zh-CN"/>
        </w:rPr>
        <w:t>辆、</w:t>
      </w:r>
      <w:r>
        <w:rPr>
          <w:rFonts w:hint="eastAsia" w:ascii="仿宋_GB2312" w:hAnsi="Times New Roman" w:eastAsia="仿宋_GB2312" w:cs="Times New Roman"/>
          <w:color w:val="000000"/>
          <w:sz w:val="32"/>
        </w:rPr>
        <w:t>机要通信用车</w:t>
      </w:r>
      <w:r>
        <w:rPr>
          <w:rFonts w:hint="eastAsia" w:ascii="Times New Roman" w:hAnsi="Times New Roman" w:eastAsia="仿宋_GB2312" w:cs="Times New Roman"/>
          <w:b w:val="0"/>
          <w:bCs w:val="0"/>
          <w:sz w:val="32"/>
          <w:szCs w:val="32"/>
          <w:lang w:val="en-US" w:eastAsia="zh-CN"/>
        </w:rPr>
        <w:t>1</w:t>
      </w:r>
      <w:r>
        <w:rPr>
          <w:rFonts w:hint="eastAsia" w:ascii="仿宋_GB2312" w:hAnsi="Times New Roman" w:eastAsia="仿宋_GB2312" w:cs="Times New Roman"/>
          <w:color w:val="000000"/>
          <w:sz w:val="32"/>
          <w:lang w:eastAsia="zh-CN"/>
        </w:rPr>
        <w:t>辆</w:t>
      </w:r>
      <w:r>
        <w:rPr>
          <w:rFonts w:hint="eastAsia" w:ascii="仿宋_GB2312" w:hAnsi="Times New Roman" w:eastAsia="仿宋_GB2312" w:cs="Times New Roman"/>
          <w:color w:val="000000"/>
          <w:sz w:val="32"/>
        </w:rPr>
        <w:t>、</w:t>
      </w:r>
      <w:r>
        <w:rPr>
          <w:rFonts w:hint="eastAsia" w:ascii="仿宋_GB2312" w:hAnsi="Times New Roman" w:eastAsia="仿宋_GB2312" w:cs="Times New Roman"/>
          <w:color w:val="000000"/>
          <w:sz w:val="32"/>
          <w:lang w:eastAsia="zh-CN"/>
        </w:rPr>
        <w:t>应急保障用车</w:t>
      </w:r>
      <w:r>
        <w:rPr>
          <w:rFonts w:hint="eastAsia" w:ascii="Times New Roman" w:hAnsi="Times New Roman" w:eastAsia="仿宋_GB2312" w:cs="Times New Roman"/>
          <w:b w:val="0"/>
          <w:bCs w:val="0"/>
          <w:sz w:val="32"/>
          <w:szCs w:val="32"/>
          <w:lang w:val="en-US" w:eastAsia="zh-CN"/>
        </w:rPr>
        <w:t>1</w:t>
      </w:r>
      <w:r>
        <w:rPr>
          <w:rFonts w:hint="eastAsia" w:ascii="仿宋_GB2312" w:hAnsi="Times New Roman" w:eastAsia="仿宋_GB2312" w:cs="Times New Roman"/>
          <w:color w:val="000000"/>
          <w:sz w:val="32"/>
          <w:lang w:val="en-US" w:eastAsia="zh-CN"/>
        </w:rPr>
        <w:t>辆、</w:t>
      </w:r>
      <w:r>
        <w:rPr>
          <w:rFonts w:hint="eastAsia" w:ascii="仿宋_GB2312" w:hAnsi="Times New Roman" w:eastAsia="仿宋_GB2312" w:cs="Times New Roman"/>
          <w:color w:val="000000"/>
          <w:sz w:val="32"/>
        </w:rPr>
        <w:t>特种专业技术用车</w:t>
      </w:r>
      <w:r>
        <w:rPr>
          <w:rFonts w:hint="eastAsia" w:ascii="Times New Roman" w:hAnsi="Times New Roman" w:eastAsia="仿宋_GB2312" w:cs="Times New Roman"/>
          <w:b w:val="0"/>
          <w:bCs w:val="0"/>
          <w:sz w:val="32"/>
          <w:szCs w:val="32"/>
          <w:lang w:val="en-US" w:eastAsia="zh-CN"/>
        </w:rPr>
        <w:t>2</w:t>
      </w:r>
      <w:r>
        <w:rPr>
          <w:rFonts w:hint="eastAsia" w:ascii="仿宋_GB2312" w:hAnsi="Times New Roman" w:eastAsia="仿宋_GB2312" w:cs="Times New Roman"/>
          <w:color w:val="000000"/>
          <w:sz w:val="32"/>
        </w:rPr>
        <w:t>辆；单价</w:t>
      </w:r>
      <w:r>
        <w:rPr>
          <w:rFonts w:hint="eastAsia" w:ascii="Times New Roman" w:hAnsi="Times New Roman" w:eastAsia="仿宋_GB2312" w:cs="Times New Roman"/>
          <w:b w:val="0"/>
          <w:bCs w:val="0"/>
          <w:sz w:val="32"/>
          <w:szCs w:val="32"/>
          <w:lang w:val="en-US" w:eastAsia="zh-CN"/>
        </w:rPr>
        <w:t>50</w:t>
      </w:r>
      <w:r>
        <w:rPr>
          <w:rFonts w:hint="eastAsia" w:ascii="仿宋_GB2312" w:hAnsi="Times New Roman" w:eastAsia="仿宋_GB2312" w:cs="Times New Roman"/>
          <w:color w:val="000000"/>
          <w:sz w:val="32"/>
        </w:rPr>
        <w:t>万元以上通用设备</w:t>
      </w:r>
      <w:r>
        <w:rPr>
          <w:rFonts w:hint="eastAsia" w:ascii="Times New Roman" w:hAnsi="Times New Roman" w:eastAsia="仿宋_GB2312" w:cs="Times New Roman"/>
          <w:b w:val="0"/>
          <w:bCs w:val="0"/>
          <w:sz w:val="32"/>
          <w:szCs w:val="32"/>
          <w:lang w:val="en-US" w:eastAsia="zh-CN"/>
        </w:rPr>
        <w:t>4</w:t>
      </w:r>
      <w:r>
        <w:rPr>
          <w:rFonts w:hint="eastAsia" w:ascii="仿宋_GB2312" w:hAnsi="Times New Roman" w:eastAsia="仿宋_GB2312" w:cs="Times New Roman"/>
          <w:color w:val="000000"/>
          <w:sz w:val="32"/>
        </w:rPr>
        <w:t>台（套）。</w:t>
      </w:r>
    </w:p>
    <w:p>
      <w:pPr>
        <w:autoSpaceDE w:val="0"/>
        <w:spacing w:line="560" w:lineRule="exact"/>
        <w:ind w:firstLine="640" w:firstLineChars="200"/>
        <w:rPr>
          <w:rFonts w:ascii="仿宋_GB2312" w:hAnsi="Times New Roman" w:eastAsia="仿宋_GB2312" w:cs="Times New Roman"/>
          <w:color w:val="000000"/>
          <w:sz w:val="32"/>
        </w:rPr>
      </w:pPr>
    </w:p>
    <w:p>
      <w:pPr>
        <w:autoSpaceDE w:val="0"/>
        <w:spacing w:line="560" w:lineRule="exact"/>
        <w:ind w:firstLine="640" w:firstLineChars="200"/>
        <w:rPr>
          <w:rFonts w:ascii="仿宋_GB2312" w:hAnsi="Times New Roman" w:eastAsia="仿宋_GB2312" w:cs="Times New Roman"/>
          <w:color w:val="000000"/>
          <w:sz w:val="32"/>
        </w:rPr>
      </w:pPr>
    </w:p>
    <w:p>
      <w:pPr>
        <w:autoSpaceDE w:val="0"/>
        <w:spacing w:line="560" w:lineRule="exact"/>
        <w:ind w:firstLine="640" w:firstLineChars="200"/>
        <w:rPr>
          <w:rFonts w:ascii="仿宋_GB2312" w:hAnsi="Times New Roman" w:eastAsia="仿宋_GB2312" w:cs="Times New Roman"/>
          <w:color w:val="000000"/>
          <w:sz w:val="32"/>
        </w:rPr>
      </w:pPr>
    </w:p>
    <w:p>
      <w:pPr>
        <w:autoSpaceDE w:val="0"/>
        <w:spacing w:line="560" w:lineRule="exact"/>
        <w:ind w:firstLine="640" w:firstLineChars="200"/>
        <w:rPr>
          <w:rFonts w:hint="eastAsia" w:ascii="仿宋_GB2312" w:hAnsi="Times New Roman" w:eastAsia="仿宋_GB2312" w:cs="Times New Roman"/>
          <w:color w:val="000000"/>
          <w:sz w:val="32"/>
        </w:rPr>
      </w:pPr>
    </w:p>
    <w:p>
      <w:pPr>
        <w:autoSpaceDE w:val="0"/>
        <w:spacing w:line="600" w:lineRule="exact"/>
        <w:ind w:firstLine="640" w:firstLineChars="200"/>
        <w:rPr>
          <w:rFonts w:hint="eastAsia" w:ascii="仿宋_GB2312" w:hAnsi="Times New Roman" w:eastAsia="仿宋_GB2312" w:cs="Times New Roman"/>
          <w:color w:val="000000"/>
          <w:sz w:val="32"/>
        </w:rPr>
      </w:pPr>
    </w:p>
    <w:p>
      <w:pPr>
        <w:autoSpaceDE w:val="0"/>
        <w:spacing w:line="600" w:lineRule="exact"/>
        <w:ind w:firstLine="640" w:firstLineChars="200"/>
        <w:rPr>
          <w:rFonts w:hint="eastAsia" w:ascii="仿宋_GB2312" w:hAnsi="Times New Roman" w:eastAsia="仿宋_GB2312" w:cs="Times New Roman"/>
          <w:color w:val="000000"/>
          <w:sz w:val="32"/>
        </w:rPr>
      </w:pPr>
    </w:p>
    <w:p>
      <w:pPr>
        <w:autoSpaceDE w:val="0"/>
        <w:spacing w:line="600" w:lineRule="exact"/>
        <w:rPr>
          <w:rFonts w:hint="eastAsia" w:ascii="仿宋_GB2312" w:hAnsi="Times New Roman" w:eastAsia="仿宋_GB2312" w:cs="Times New Roman"/>
          <w:color w:val="000000"/>
          <w:sz w:val="32"/>
        </w:rPr>
      </w:pPr>
    </w:p>
    <w:p>
      <w:pPr>
        <w:autoSpaceDE w:val="0"/>
        <w:spacing w:line="600" w:lineRule="exact"/>
        <w:ind w:firstLine="640" w:firstLineChars="200"/>
        <w:rPr>
          <w:rFonts w:hint="eastAsia" w:ascii="仿宋_GB2312" w:hAnsi="Times New Roman" w:eastAsia="仿宋_GB2312" w:cs="Times New Roman"/>
          <w:color w:val="000000"/>
          <w:sz w:val="32"/>
        </w:rPr>
      </w:pPr>
    </w:p>
    <w:p>
      <w:pPr>
        <w:autoSpaceDE w:val="0"/>
        <w:spacing w:line="600" w:lineRule="exact"/>
        <w:ind w:firstLine="640" w:firstLineChars="200"/>
        <w:rPr>
          <w:rFonts w:hint="eastAsia" w:ascii="仿宋_GB2312" w:hAnsi="Times New Roman" w:eastAsia="仿宋_GB2312" w:cs="Times New Roman"/>
          <w:color w:val="000000"/>
          <w:sz w:val="32"/>
        </w:rPr>
      </w:pPr>
    </w:p>
    <w:p>
      <w:pPr>
        <w:autoSpaceDE w:val="0"/>
        <w:spacing w:line="600" w:lineRule="exact"/>
        <w:ind w:firstLine="640" w:firstLineChars="200"/>
        <w:rPr>
          <w:rFonts w:hint="eastAsia" w:ascii="仿宋_GB2312" w:hAnsi="Times New Roman" w:eastAsia="仿宋_GB2312" w:cs="Times New Roman"/>
          <w:color w:val="000000"/>
          <w:sz w:val="32"/>
        </w:rPr>
      </w:pPr>
    </w:p>
    <w:p>
      <w:pPr>
        <w:autoSpaceDE w:val="0"/>
        <w:spacing w:line="600" w:lineRule="exact"/>
        <w:ind w:firstLine="640" w:firstLineChars="200"/>
        <w:rPr>
          <w:rFonts w:ascii="仿宋_GB2312" w:hAnsi="Times New Roman" w:eastAsia="仿宋_GB2312" w:cs="Times New Roman"/>
          <w:color w:val="000000"/>
          <w:sz w:val="32"/>
        </w:rPr>
      </w:pPr>
    </w:p>
    <w:p>
      <w:pPr>
        <w:pStyle w:val="2"/>
        <w:jc w:val="center"/>
        <w:rPr>
          <w:rFonts w:hint="eastAsia" w:ascii="黑体" w:hAnsi="Times New Roman" w:eastAsia="黑体"/>
          <w:b w:val="0"/>
          <w:sz w:val="84"/>
          <w:szCs w:val="84"/>
        </w:rPr>
      </w:pPr>
      <w:bookmarkStart w:id="49" w:name="_Toc16537"/>
      <w:bookmarkStart w:id="50" w:name="_Toc30668"/>
      <w:bookmarkStart w:id="51" w:name="_Toc110258353"/>
    </w:p>
    <w:p>
      <w:pPr>
        <w:pStyle w:val="2"/>
        <w:jc w:val="center"/>
        <w:rPr>
          <w:rFonts w:hint="eastAsia" w:ascii="黑体" w:hAnsi="Times New Roman" w:eastAsia="黑体"/>
          <w:b w:val="0"/>
          <w:sz w:val="84"/>
          <w:szCs w:val="84"/>
        </w:rPr>
      </w:pPr>
    </w:p>
    <w:p>
      <w:pPr>
        <w:pStyle w:val="2"/>
        <w:jc w:val="center"/>
        <w:rPr>
          <w:rFonts w:ascii="黑体" w:hAnsi="Times New Roman" w:eastAsia="黑体"/>
          <w:b w:val="0"/>
          <w:sz w:val="84"/>
          <w:szCs w:val="84"/>
        </w:rPr>
      </w:pPr>
      <w:r>
        <w:rPr>
          <w:rFonts w:hint="eastAsia" w:ascii="黑体" w:hAnsi="Times New Roman" w:eastAsia="黑体"/>
          <w:b w:val="0"/>
          <w:sz w:val="84"/>
          <w:szCs w:val="84"/>
        </w:rPr>
        <w:t>第四部分</w:t>
      </w:r>
      <w:bookmarkEnd w:id="49"/>
      <w:bookmarkEnd w:id="50"/>
      <w:bookmarkStart w:id="52" w:name="_Toc19818"/>
      <w:bookmarkStart w:id="53" w:name="_Toc32316"/>
      <w:r>
        <w:rPr>
          <w:rFonts w:hint="eastAsia" w:ascii="黑体" w:hAnsi="Times New Roman" w:eastAsia="黑体"/>
          <w:b w:val="0"/>
          <w:sz w:val="84"/>
          <w:szCs w:val="84"/>
        </w:rPr>
        <w:t xml:space="preserve">  名词解释</w:t>
      </w:r>
      <w:bookmarkEnd w:id="51"/>
      <w:bookmarkEnd w:id="52"/>
      <w:bookmarkEnd w:id="53"/>
    </w:p>
    <w:p>
      <w:pPr>
        <w:spacing w:line="560" w:lineRule="exact"/>
        <w:ind w:firstLine="643" w:firstLineChars="200"/>
        <w:rPr>
          <w:rFonts w:ascii="仿宋_GB2312" w:eastAsia="仿宋_GB2312"/>
          <w:b/>
          <w:bCs/>
          <w:sz w:val="32"/>
          <w:szCs w:val="32"/>
        </w:rPr>
      </w:pPr>
      <w:bookmarkStart w:id="54" w:name="_Toc12048"/>
      <w:bookmarkStart w:id="55" w:name="_Toc12738"/>
      <w:bookmarkStart w:id="56" w:name="_Toc14045"/>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ind w:firstLine="643" w:firstLineChars="200"/>
        <w:rPr>
          <w:rFonts w:ascii="仿宋_GB2312" w:eastAsia="仿宋_GB2312"/>
          <w:b/>
          <w:bCs/>
          <w:sz w:val="32"/>
          <w:szCs w:val="32"/>
        </w:rPr>
      </w:pPr>
    </w:p>
    <w:p>
      <w:pPr>
        <w:spacing w:line="560" w:lineRule="exact"/>
        <w:rPr>
          <w:rFonts w:ascii="仿宋_GB2312" w:eastAsia="仿宋_GB2312"/>
          <w:b/>
          <w:bCs/>
          <w:sz w:val="32"/>
          <w:szCs w:val="32"/>
        </w:rPr>
      </w:pP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一、一般公共预算财政拨款收入：</w:t>
      </w:r>
      <w:r>
        <w:rPr>
          <w:rFonts w:hint="eastAsia" w:ascii="仿宋_GB2312" w:eastAsia="仿宋_GB2312"/>
          <w:sz w:val="32"/>
          <w:szCs w:val="32"/>
        </w:rPr>
        <w:t>指中央财政当年拨付的资金。</w:t>
      </w:r>
      <w:bookmarkEnd w:id="54"/>
      <w:bookmarkEnd w:id="55"/>
      <w:bookmarkEnd w:id="56"/>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二、事业收入：</w:t>
      </w:r>
      <w:r>
        <w:rPr>
          <w:rFonts w:hint="eastAsia" w:ascii="仿宋_GB2312" w:eastAsia="仿宋_GB2312"/>
          <w:sz w:val="32"/>
          <w:szCs w:val="32"/>
        </w:rPr>
        <w:t>指事业单位开展专业业务活动及其辅助活动取得的收入。</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三、经营收入：</w:t>
      </w:r>
      <w:r>
        <w:rPr>
          <w:rFonts w:hint="eastAsia" w:ascii="仿宋_GB2312" w:eastAsia="仿宋_GB2312"/>
          <w:sz w:val="32"/>
          <w:szCs w:val="32"/>
        </w:rPr>
        <w:t>指事业单位在专业业务活动及其辅助活动之外开展非独立核算经营活动取得的收入。</w:t>
      </w:r>
    </w:p>
    <w:p>
      <w:pPr>
        <w:spacing w:line="560" w:lineRule="exact"/>
        <w:ind w:firstLine="630" w:firstLineChars="196"/>
        <w:rPr>
          <w:rFonts w:ascii="仿宋_GB2312" w:eastAsia="仿宋_GB2312"/>
          <w:sz w:val="32"/>
          <w:szCs w:val="32"/>
        </w:rPr>
      </w:pPr>
      <w:r>
        <w:rPr>
          <w:rFonts w:hint="eastAsia" w:ascii="仿宋_GB2312" w:eastAsia="仿宋_GB2312"/>
          <w:b/>
          <w:bCs/>
          <w:sz w:val="32"/>
          <w:szCs w:val="32"/>
        </w:rPr>
        <w:t>四、</w:t>
      </w:r>
      <w:r>
        <w:rPr>
          <w:rFonts w:hint="eastAsia" w:ascii="仿宋_GB2312" w:eastAsia="仿宋_GB2312"/>
          <w:b/>
          <w:sz w:val="32"/>
          <w:szCs w:val="32"/>
        </w:rPr>
        <w:t>其他收入：</w:t>
      </w:r>
      <w:r>
        <w:rPr>
          <w:rFonts w:hint="eastAsia" w:ascii="仿宋_GB2312" w:eastAsia="仿宋_GB2312"/>
          <w:sz w:val="32"/>
          <w:szCs w:val="32"/>
        </w:rPr>
        <w:t>指除上述“一般公共预算财政拨款收入”、“事业收入”、“经营收入”等以外的收入，主要是非本级财政拨款收入、存款利息收入等。</w:t>
      </w:r>
    </w:p>
    <w:p>
      <w:pPr>
        <w:spacing w:line="560" w:lineRule="exact"/>
        <w:ind w:firstLine="630" w:firstLineChars="196"/>
        <w:rPr>
          <w:rFonts w:ascii="仿宋_GB2312" w:eastAsia="仿宋_GB2312"/>
          <w:b/>
          <w:sz w:val="32"/>
          <w:szCs w:val="32"/>
        </w:rPr>
      </w:pPr>
      <w:r>
        <w:rPr>
          <w:rFonts w:hint="eastAsia" w:ascii="仿宋_GB2312" w:eastAsia="仿宋_GB2312"/>
          <w:b/>
          <w:sz w:val="32"/>
          <w:szCs w:val="32"/>
        </w:rPr>
        <w:t>五、年初结转和结余：</w:t>
      </w:r>
      <w:r>
        <w:rPr>
          <w:rFonts w:hint="eastAsia" w:ascii="仿宋_GB2312" w:eastAsia="仿宋_GB2312"/>
          <w:sz w:val="32"/>
          <w:szCs w:val="32"/>
        </w:rPr>
        <w:t>指单位以前年度尚未完成、结转到本年仍按原规定用途继续使用的资金，或项目已完成等产生的结余资金。</w:t>
      </w:r>
    </w:p>
    <w:p>
      <w:pPr>
        <w:spacing w:line="560" w:lineRule="exact"/>
        <w:ind w:firstLine="630" w:firstLineChars="196"/>
        <w:rPr>
          <w:rFonts w:ascii="仿宋_GB2312" w:eastAsia="仿宋_GB2312"/>
          <w:b/>
          <w:sz w:val="32"/>
          <w:szCs w:val="32"/>
        </w:rPr>
      </w:pPr>
      <w:r>
        <w:rPr>
          <w:rFonts w:hint="eastAsia" w:ascii="仿宋_GB2312" w:eastAsia="仿宋_GB2312"/>
          <w:b/>
          <w:sz w:val="32"/>
          <w:szCs w:val="32"/>
        </w:rPr>
        <w:t>六、社会保障和就业支出（类）行政事业单位养老支出（款）行政单位离退休（项）：</w:t>
      </w:r>
      <w:r>
        <w:rPr>
          <w:rFonts w:hint="eastAsia" w:ascii="仿宋_GB2312" w:eastAsia="仿宋_GB2312"/>
          <w:sz w:val="32"/>
          <w:szCs w:val="32"/>
        </w:rPr>
        <w:t>反映海南省通信管理局退休人员的支出。</w:t>
      </w:r>
    </w:p>
    <w:p>
      <w:pPr>
        <w:spacing w:line="560" w:lineRule="exact"/>
        <w:ind w:firstLine="630" w:firstLineChars="196"/>
        <w:rPr>
          <w:rFonts w:ascii="仿宋_GB2312" w:eastAsia="仿宋_GB2312"/>
          <w:bCs/>
          <w:sz w:val="32"/>
          <w:szCs w:val="32"/>
        </w:rPr>
      </w:pPr>
      <w:r>
        <w:rPr>
          <w:rFonts w:hint="eastAsia" w:ascii="仿宋_GB2312" w:eastAsia="仿宋_GB2312"/>
          <w:b/>
          <w:sz w:val="32"/>
          <w:szCs w:val="32"/>
        </w:rPr>
        <w:t>七、社会保障和就业支出（类）行政事业单位养老支出（款）机关事业单位基本养老保险缴费支出（项）：</w:t>
      </w:r>
      <w:r>
        <w:rPr>
          <w:rFonts w:hint="eastAsia" w:ascii="仿宋_GB2312" w:eastAsia="仿宋_GB2312"/>
          <w:bCs/>
          <w:sz w:val="32"/>
          <w:szCs w:val="32"/>
        </w:rPr>
        <w:t>反映机关事业单位实施养老保险制度由单位缴纳的基本养老保险费支出。</w:t>
      </w:r>
    </w:p>
    <w:p>
      <w:pPr>
        <w:spacing w:line="560" w:lineRule="exact"/>
        <w:ind w:firstLine="630" w:firstLineChars="196"/>
        <w:rPr>
          <w:rFonts w:ascii="仿宋_GB2312" w:eastAsia="仿宋_GB2312"/>
          <w:bCs/>
          <w:sz w:val="32"/>
          <w:szCs w:val="32"/>
        </w:rPr>
      </w:pPr>
      <w:r>
        <w:rPr>
          <w:rFonts w:hint="eastAsia" w:ascii="仿宋_GB2312" w:eastAsia="仿宋_GB2312"/>
          <w:b/>
          <w:sz w:val="32"/>
          <w:szCs w:val="32"/>
        </w:rPr>
        <w:t>八、社会保障和就业支出（类）行政事业单位养老支出（款）机关事业单位职业年金缴费支出（项）：</w:t>
      </w:r>
      <w:r>
        <w:rPr>
          <w:rFonts w:hint="eastAsia" w:ascii="仿宋_GB2312" w:eastAsia="仿宋_GB2312"/>
          <w:bCs/>
          <w:sz w:val="32"/>
          <w:szCs w:val="32"/>
        </w:rPr>
        <w:t>反映机关事业单位实施养老保险制度由单位缴纳的职业年金支出。</w:t>
      </w:r>
    </w:p>
    <w:p>
      <w:pPr>
        <w:spacing w:line="560" w:lineRule="exact"/>
        <w:ind w:firstLine="630" w:firstLineChars="196"/>
        <w:rPr>
          <w:rFonts w:ascii="仿宋_GB2312" w:eastAsia="仿宋_GB2312"/>
          <w:bCs/>
          <w:sz w:val="32"/>
          <w:szCs w:val="32"/>
        </w:rPr>
      </w:pPr>
      <w:r>
        <w:rPr>
          <w:rFonts w:hint="eastAsia" w:ascii="仿宋_GB2312" w:eastAsia="仿宋_GB2312"/>
          <w:b/>
          <w:sz w:val="32"/>
          <w:szCs w:val="32"/>
        </w:rPr>
        <w:t>九、卫生健康支出（类）行政事业单位医疗（款）行政单位医疗（项）：</w:t>
      </w:r>
      <w:r>
        <w:rPr>
          <w:rFonts w:hint="eastAsia" w:ascii="仿宋_GB2312" w:eastAsia="仿宋_GB2312"/>
          <w:bCs/>
          <w:sz w:val="32"/>
          <w:szCs w:val="32"/>
        </w:rPr>
        <w:t>反映中央财政集中安排给各省、市、自治区、直辖市通信管理局的基本医疗保险缴费经费和公务员医疗补助经费。</w:t>
      </w:r>
    </w:p>
    <w:p>
      <w:pPr>
        <w:spacing w:line="560" w:lineRule="exact"/>
        <w:ind w:firstLine="630" w:firstLineChars="196"/>
        <w:rPr>
          <w:rFonts w:ascii="仿宋_GB2312" w:eastAsia="仿宋_GB2312"/>
          <w:b/>
          <w:sz w:val="32"/>
          <w:szCs w:val="32"/>
        </w:rPr>
      </w:pPr>
      <w:r>
        <w:rPr>
          <w:rFonts w:hint="eastAsia" w:ascii="仿宋_GB2312" w:eastAsia="仿宋_GB2312"/>
          <w:b/>
          <w:sz w:val="32"/>
          <w:szCs w:val="32"/>
        </w:rPr>
        <w:t>十、</w:t>
      </w:r>
      <w:r>
        <w:rPr>
          <w:rFonts w:hint="eastAsia" w:ascii="仿宋_GB2312" w:hAnsi="Times New Roman" w:eastAsia="仿宋_GB2312" w:cs="Times New Roman"/>
          <w:b/>
          <w:color w:val="000000"/>
          <w:sz w:val="32"/>
        </w:rPr>
        <w:t>资源勘探工业信息等支出（类）工业和信息产业监管（款）</w:t>
      </w:r>
      <w:r>
        <w:rPr>
          <w:rFonts w:hint="eastAsia" w:ascii="仿宋_GB2312" w:eastAsia="仿宋_GB2312"/>
          <w:b/>
          <w:sz w:val="32"/>
          <w:szCs w:val="32"/>
        </w:rPr>
        <w:t>：</w:t>
      </w:r>
      <w:r>
        <w:rPr>
          <w:rFonts w:hint="eastAsia" w:ascii="仿宋_GB2312" w:eastAsia="仿宋_GB2312"/>
          <w:bCs/>
          <w:sz w:val="32"/>
          <w:szCs w:val="32"/>
        </w:rPr>
        <w:t>反映海南省通信管理局用于保障机构运行、开展工业和信息产业监管工作的支出。</w:t>
      </w:r>
    </w:p>
    <w:p>
      <w:pPr>
        <w:spacing w:line="560" w:lineRule="exact"/>
        <w:ind w:firstLine="630" w:firstLineChars="196"/>
        <w:rPr>
          <w:rFonts w:ascii="仿宋_GB2312" w:eastAsia="仿宋_GB2312"/>
          <w:bCs/>
          <w:sz w:val="32"/>
          <w:szCs w:val="32"/>
        </w:rPr>
      </w:pPr>
      <w:r>
        <w:rPr>
          <w:rFonts w:hint="eastAsia" w:ascii="仿宋_GB2312" w:eastAsia="仿宋_GB2312"/>
          <w:b/>
          <w:sz w:val="32"/>
          <w:szCs w:val="32"/>
        </w:rPr>
        <w:t>十一、住房保障支出（类）住房改革支出（款）住房公积金（项）：</w:t>
      </w:r>
      <w:r>
        <w:rPr>
          <w:rFonts w:hint="eastAsia" w:ascii="仿宋_GB2312" w:eastAsia="仿宋_GB2312"/>
          <w:bCs/>
          <w:sz w:val="32"/>
          <w:szCs w:val="32"/>
        </w:rPr>
        <w:t>反映海南省通信管理局按人力资源和社会保障部、工业和信息化部规定的基本工资和津补贴以及规定比例为职工缴纳的住房公积金</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十二、住房保障支出（类）住房改革支出（款）购房补贴（项）：</w:t>
      </w:r>
      <w:r>
        <w:rPr>
          <w:rFonts w:hint="eastAsia" w:ascii="仿宋_GB2312" w:eastAsia="仿宋_GB2312"/>
          <w:bCs/>
          <w:sz w:val="32"/>
          <w:szCs w:val="32"/>
        </w:rPr>
        <w:t>反映按房改政策规定，行政事业单位向符合条件职工发放的购房补贴资金。</w:t>
      </w:r>
      <w:r>
        <w:rPr>
          <w:rFonts w:ascii="仿宋_GB2312" w:eastAsia="仿宋_GB2312"/>
          <w:b/>
          <w:sz w:val="32"/>
          <w:szCs w:val="32"/>
        </w:rPr>
        <w:t xml:space="preserve"> </w:t>
      </w:r>
    </w:p>
    <w:p>
      <w:pPr>
        <w:spacing w:line="560" w:lineRule="exact"/>
        <w:ind w:firstLine="630" w:firstLineChars="196"/>
        <w:rPr>
          <w:rFonts w:ascii="仿宋_GB2312" w:eastAsia="仿宋_GB2312"/>
          <w:b/>
          <w:bCs/>
          <w:sz w:val="32"/>
          <w:szCs w:val="32"/>
        </w:rPr>
      </w:pPr>
      <w:r>
        <w:rPr>
          <w:rFonts w:hint="eastAsia" w:ascii="仿宋_GB2312" w:eastAsia="仿宋_GB2312"/>
          <w:b/>
          <w:sz w:val="32"/>
          <w:szCs w:val="32"/>
        </w:rPr>
        <w:t>十三、</w:t>
      </w:r>
      <w:r>
        <w:rPr>
          <w:rFonts w:hint="eastAsia" w:ascii="仿宋_GB2312" w:eastAsia="仿宋_GB2312"/>
          <w:b/>
          <w:bCs/>
          <w:sz w:val="32"/>
          <w:szCs w:val="32"/>
        </w:rPr>
        <w:t>结余分配：</w:t>
      </w:r>
      <w:r>
        <w:rPr>
          <w:rFonts w:hint="eastAsia" w:ascii="仿宋_GB2312" w:eastAsia="仿宋_GB2312"/>
          <w:sz w:val="32"/>
          <w:szCs w:val="32"/>
        </w:rPr>
        <w:t>指事业单位按照会计制度规定缴纳的所得税以及从非财政补助结余中提取的职工福利基金、事业基金等。</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十四、年末结转和结余：</w:t>
      </w:r>
      <w:r>
        <w:rPr>
          <w:rFonts w:hint="eastAsia" w:ascii="仿宋_GB2312" w:eastAsia="仿宋_GB2312"/>
          <w:sz w:val="32"/>
          <w:szCs w:val="32"/>
        </w:rPr>
        <w:t>指单位按有关规定结转到下年或以后年度继续使用的资金。</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十五、基本支出：</w:t>
      </w:r>
      <w:r>
        <w:rPr>
          <w:rFonts w:hint="eastAsia" w:ascii="仿宋_GB2312" w:eastAsia="仿宋_GB2312"/>
          <w:sz w:val="32"/>
          <w:szCs w:val="32"/>
        </w:rPr>
        <w:t>指为保障机构正常运转、完成日常工作任务而发生的人员支出和公用支出。</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十六、项目支出：</w:t>
      </w:r>
      <w:r>
        <w:rPr>
          <w:rFonts w:hint="eastAsia" w:ascii="仿宋_GB2312" w:eastAsia="仿宋_GB2312"/>
          <w:sz w:val="32"/>
          <w:szCs w:val="32"/>
        </w:rPr>
        <w:t>指在基本支出之外为完成特定行政任务和事业发展目标所发生的支出。</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十七、经营支出：</w:t>
      </w:r>
      <w:r>
        <w:rPr>
          <w:rFonts w:hint="eastAsia" w:ascii="仿宋_GB2312" w:eastAsia="仿宋_GB2312"/>
          <w:sz w:val="32"/>
          <w:szCs w:val="32"/>
        </w:rPr>
        <w:t>指事业单位在专业业务活动及其辅助活动之外开展非独立核算经营活动发生的支出。</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十八、“三公”经费：</w:t>
      </w:r>
      <w:r>
        <w:rPr>
          <w:rFonts w:hint="eastAsia" w:ascii="仿宋_GB2312" w:eastAsia="仿宋_GB2312"/>
          <w:sz w:val="32"/>
          <w:szCs w:val="32"/>
        </w:rPr>
        <w:t>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支出。</w:t>
      </w:r>
    </w:p>
    <w:p>
      <w:pPr>
        <w:spacing w:line="560" w:lineRule="exact"/>
        <w:rPr>
          <w:rFonts w:ascii="仿宋_GB2312" w:eastAsia="仿宋_GB2312"/>
          <w:b/>
          <w:bCs/>
          <w:color w:val="000000"/>
          <w:sz w:val="32"/>
          <w:szCs w:val="32"/>
        </w:rPr>
      </w:pPr>
      <w:r>
        <w:rPr>
          <w:rFonts w:hint="eastAsia" w:ascii="仿宋_GB2312" w:eastAsia="仿宋_GB2312"/>
          <w:b/>
          <w:sz w:val="32"/>
          <w:szCs w:val="32"/>
        </w:rPr>
        <w:t xml:space="preserve">    十九、机关运行经费：</w:t>
      </w:r>
      <w:r>
        <w:rPr>
          <w:rFonts w:hint="eastAsia" w:ascii="仿宋_GB2312" w:eastAsia="仿宋_GB231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仿宋_GB2312" w:eastAsia="仿宋_GB2312" w:cs="Times New Roman"/>
          <w:sz w:val="32"/>
          <w:szCs w:val="32"/>
        </w:rPr>
      </w:pPr>
    </w:p>
    <w:sectPr>
      <w:footerReference r:id="rId3"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A00002EF" w:usb1="4000004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8</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092160"/>
    <w:multiLevelType w:val="singleLevel"/>
    <w:tmpl w:val="1E09216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U1ZDkzMWEyZThiMWU4MjM5YTVkODA2MTljODM2NzUifQ=="/>
  </w:docVars>
  <w:rsids>
    <w:rsidRoot w:val="00000000"/>
    <w:rsid w:val="01B93834"/>
    <w:rsid w:val="030018A6"/>
    <w:rsid w:val="04842AA6"/>
    <w:rsid w:val="056C6DC3"/>
    <w:rsid w:val="07C41DCD"/>
    <w:rsid w:val="09570789"/>
    <w:rsid w:val="09DC2A3C"/>
    <w:rsid w:val="0A696248"/>
    <w:rsid w:val="0BC25540"/>
    <w:rsid w:val="0EE20AF5"/>
    <w:rsid w:val="10067F95"/>
    <w:rsid w:val="110C1E59"/>
    <w:rsid w:val="12FD1DB5"/>
    <w:rsid w:val="156F1840"/>
    <w:rsid w:val="15A41023"/>
    <w:rsid w:val="16021A7C"/>
    <w:rsid w:val="17B7499B"/>
    <w:rsid w:val="185D2F9A"/>
    <w:rsid w:val="19726BD9"/>
    <w:rsid w:val="1BE162D5"/>
    <w:rsid w:val="1EB1403F"/>
    <w:rsid w:val="1FBE0585"/>
    <w:rsid w:val="236E0751"/>
    <w:rsid w:val="23ED3D6C"/>
    <w:rsid w:val="24D47306"/>
    <w:rsid w:val="24F02010"/>
    <w:rsid w:val="27BF0CA0"/>
    <w:rsid w:val="290343AE"/>
    <w:rsid w:val="3017022E"/>
    <w:rsid w:val="32432D5F"/>
    <w:rsid w:val="330856FA"/>
    <w:rsid w:val="35786D81"/>
    <w:rsid w:val="38624A88"/>
    <w:rsid w:val="39C369FF"/>
    <w:rsid w:val="3DA31942"/>
    <w:rsid w:val="43AE4585"/>
    <w:rsid w:val="46674E60"/>
    <w:rsid w:val="4B1F03FF"/>
    <w:rsid w:val="4C3E4A8B"/>
    <w:rsid w:val="4DBB6725"/>
    <w:rsid w:val="508C4D70"/>
    <w:rsid w:val="510734C7"/>
    <w:rsid w:val="51C14D41"/>
    <w:rsid w:val="522670F0"/>
    <w:rsid w:val="525143BD"/>
    <w:rsid w:val="52546BE0"/>
    <w:rsid w:val="52A116FA"/>
    <w:rsid w:val="533A4B08"/>
    <w:rsid w:val="574A5D0F"/>
    <w:rsid w:val="579B6B27"/>
    <w:rsid w:val="5D467A6D"/>
    <w:rsid w:val="5ED645AC"/>
    <w:rsid w:val="5F5917A7"/>
    <w:rsid w:val="5F5C0E82"/>
    <w:rsid w:val="64D872E5"/>
    <w:rsid w:val="66C537B1"/>
    <w:rsid w:val="676F0098"/>
    <w:rsid w:val="6AF74155"/>
    <w:rsid w:val="6B4344A6"/>
    <w:rsid w:val="6CAE35D0"/>
    <w:rsid w:val="6EE67C47"/>
    <w:rsid w:val="73722F12"/>
    <w:rsid w:val="74DD43BC"/>
    <w:rsid w:val="78120820"/>
    <w:rsid w:val="78A376CA"/>
    <w:rsid w:val="7E5D11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0"/>
    <w:pPr>
      <w:keepNext/>
      <w:keepLines/>
      <w:ind w:firstLine="640" w:firstLineChars="200"/>
      <w:jc w:val="left"/>
      <w:outlineLvl w:val="1"/>
    </w:pPr>
    <w:rPr>
      <w:rFonts w:ascii="Arial" w:hAnsi="Arial" w:eastAsia="黑体" w:cs="Times New Roman"/>
      <w:sz w:val="32"/>
      <w:szCs w:val="20"/>
    </w:rPr>
  </w:style>
  <w:style w:type="paragraph" w:styleId="4">
    <w:name w:val="heading 3"/>
    <w:basedOn w:val="1"/>
    <w:next w:val="1"/>
    <w:link w:val="15"/>
    <w:qFormat/>
    <w:uiPriority w:val="0"/>
    <w:pPr>
      <w:keepNext/>
      <w:keepLines/>
      <w:spacing w:before="260" w:after="260" w:line="416" w:lineRule="auto"/>
      <w:outlineLvl w:val="2"/>
    </w:pPr>
    <w:rPr>
      <w:b/>
      <w:bCs/>
      <w:sz w:val="32"/>
      <w:szCs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widowControl/>
      <w:tabs>
        <w:tab w:val="right" w:leader="dot" w:pos="9736"/>
      </w:tabs>
      <w:spacing w:after="100" w:line="380" w:lineRule="exact"/>
      <w:jc w:val="left"/>
    </w:pPr>
    <w:rPr>
      <w:kern w:val="0"/>
      <w:sz w:val="22"/>
    </w:rPr>
  </w:style>
  <w:style w:type="paragraph" w:styleId="9">
    <w:name w:val="toc 2"/>
    <w:basedOn w:val="1"/>
    <w:next w:val="1"/>
    <w:qFormat/>
    <w:uiPriority w:val="0"/>
    <w:pPr>
      <w:ind w:left="420" w:leftChars="200"/>
    </w:pPr>
  </w:style>
  <w:style w:type="character" w:styleId="12">
    <w:name w:val="Hyperlink"/>
    <w:basedOn w:val="11"/>
    <w:qFormat/>
    <w:uiPriority w:val="0"/>
    <w:rPr>
      <w:color w:val="0000FF"/>
      <w:u w:val="single"/>
    </w:rPr>
  </w:style>
  <w:style w:type="character" w:customStyle="1" w:styleId="13">
    <w:name w:val="标题 1 Char"/>
    <w:basedOn w:val="11"/>
    <w:link w:val="2"/>
    <w:semiHidden/>
    <w:qFormat/>
    <w:uiPriority w:val="0"/>
    <w:rPr>
      <w:b/>
      <w:bCs/>
      <w:kern w:val="44"/>
      <w:sz w:val="44"/>
      <w:szCs w:val="44"/>
    </w:rPr>
  </w:style>
  <w:style w:type="character" w:customStyle="1" w:styleId="14">
    <w:name w:val="标题 2 Char"/>
    <w:basedOn w:val="11"/>
    <w:link w:val="3"/>
    <w:semiHidden/>
    <w:qFormat/>
    <w:uiPriority w:val="0"/>
    <w:rPr>
      <w:rFonts w:ascii="Arial" w:hAnsi="Arial" w:eastAsia="黑体" w:cs="Times New Roman"/>
      <w:sz w:val="32"/>
      <w:szCs w:val="20"/>
    </w:rPr>
  </w:style>
  <w:style w:type="character" w:customStyle="1" w:styleId="15">
    <w:name w:val="标题 3 Char"/>
    <w:basedOn w:val="11"/>
    <w:link w:val="4"/>
    <w:semiHidden/>
    <w:qFormat/>
    <w:uiPriority w:val="0"/>
    <w:rPr>
      <w:b/>
      <w:bCs/>
      <w:sz w:val="32"/>
      <w:szCs w:val="32"/>
    </w:rPr>
  </w:style>
  <w:style w:type="paragraph" w:customStyle="1" w:styleId="16">
    <w:name w:val="批注框文本1"/>
    <w:basedOn w:val="1"/>
    <w:link w:val="17"/>
    <w:qFormat/>
    <w:uiPriority w:val="0"/>
    <w:rPr>
      <w:sz w:val="18"/>
      <w:szCs w:val="18"/>
    </w:rPr>
  </w:style>
  <w:style w:type="character" w:customStyle="1" w:styleId="17">
    <w:name w:val="批注框文本 Char"/>
    <w:basedOn w:val="11"/>
    <w:link w:val="16"/>
    <w:semiHidden/>
    <w:qFormat/>
    <w:uiPriority w:val="0"/>
    <w:rPr>
      <w:sz w:val="18"/>
      <w:szCs w:val="18"/>
    </w:rPr>
  </w:style>
  <w:style w:type="character" w:customStyle="1" w:styleId="18">
    <w:name w:val="页脚 Char"/>
    <w:basedOn w:val="11"/>
    <w:link w:val="6"/>
    <w:semiHidden/>
    <w:qFormat/>
    <w:uiPriority w:val="0"/>
    <w:rPr>
      <w:sz w:val="18"/>
      <w:szCs w:val="18"/>
    </w:rPr>
  </w:style>
  <w:style w:type="character" w:customStyle="1" w:styleId="19">
    <w:name w:val="页眉 Char"/>
    <w:basedOn w:val="11"/>
    <w:link w:val="7"/>
    <w:semiHidden/>
    <w:qFormat/>
    <w:uiPriority w:val="0"/>
    <w:rPr>
      <w:sz w:val="18"/>
      <w:szCs w:val="18"/>
    </w:rPr>
  </w:style>
  <w:style w:type="paragraph" w:customStyle="1" w:styleId="20">
    <w:name w:val="普通(网站)1"/>
    <w:basedOn w:val="1"/>
    <w:qFormat/>
    <w:uiPriority w:val="0"/>
    <w:pPr>
      <w:spacing w:beforeAutospacing="1" w:afterAutospacing="1"/>
      <w:jc w:val="left"/>
    </w:pPr>
    <w:rPr>
      <w:rFonts w:ascii="Calibri" w:hAnsi="Calibri" w:eastAsia="宋体" w:cs="黑体"/>
      <w:kern w:val="0"/>
      <w:sz w:val="24"/>
      <w:szCs w:val="24"/>
    </w:rPr>
  </w:style>
  <w:style w:type="paragraph" w:customStyle="1" w:styleId="21">
    <w:name w:val="Char Char Char Char Char Char Char"/>
    <w:basedOn w:val="1"/>
    <w:qFormat/>
    <w:uiPriority w:val="0"/>
    <w:rPr>
      <w:rFonts w:ascii="Times New Roman" w:hAnsi="Times New Roman" w:eastAsia="宋体" w:cs="Times New Roman"/>
      <w:szCs w:val="20"/>
    </w:rPr>
  </w:style>
  <w:style w:type="paragraph" w:customStyle="1" w:styleId="22">
    <w:name w:val="TOC Heading"/>
    <w:basedOn w:val="2"/>
    <w:next w:val="1"/>
    <w:qFormat/>
    <w:uiPriority w:val="0"/>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23">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8.emf"/><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media/image17.emf"/><Relationship Id="rId28" Type="http://schemas.openxmlformats.org/officeDocument/2006/relationships/oleObject" Target="embeddings/oleObject8.bin"/><Relationship Id="rId27" Type="http://schemas.openxmlformats.org/officeDocument/2006/relationships/image" Target="media/image16.emf"/><Relationship Id="rId26" Type="http://schemas.openxmlformats.org/officeDocument/2006/relationships/oleObject" Target="embeddings/oleObject7.bin"/><Relationship Id="rId25" Type="http://schemas.openxmlformats.org/officeDocument/2006/relationships/image" Target="media/image15.emf"/><Relationship Id="rId24" Type="http://schemas.openxmlformats.org/officeDocument/2006/relationships/oleObject" Target="embeddings/oleObject6.bin"/><Relationship Id="rId23" Type="http://schemas.openxmlformats.org/officeDocument/2006/relationships/image" Target="media/image14.emf"/><Relationship Id="rId22" Type="http://schemas.openxmlformats.org/officeDocument/2006/relationships/oleObject" Target="embeddings/oleObject5.bin"/><Relationship Id="rId21" Type="http://schemas.openxmlformats.org/officeDocument/2006/relationships/image" Target="media/image13.e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12.emf"/><Relationship Id="rId18" Type="http://schemas.openxmlformats.org/officeDocument/2006/relationships/oleObject" Target="embeddings/oleObject3.bin"/><Relationship Id="rId17" Type="http://schemas.openxmlformats.org/officeDocument/2006/relationships/image" Target="media/image11.emf"/><Relationship Id="rId16" Type="http://schemas.openxmlformats.org/officeDocument/2006/relationships/oleObject" Target="embeddings/oleObject2.bin"/><Relationship Id="rId15" Type="http://schemas.openxmlformats.org/officeDocument/2006/relationships/image" Target="media/image10.emf"/><Relationship Id="rId14" Type="http://schemas.openxmlformats.org/officeDocument/2006/relationships/oleObject" Target="embeddings/oleObject1.bin"/><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59"/>
    <customShpInfo spid="_x0000_s1060"/>
    <customShpInfo spid="_x0000_s1058"/>
    <customShpInfo spid="_x0000_s1057"/>
    <customShpInfo spid="_x0000_s1054"/>
    <customShpInfo spid="_x0000_s1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4651</Words>
  <Characters>5114</Characters>
  <Lines>55</Lines>
  <Paragraphs>15</Paragraphs>
  <TotalTime>10</TotalTime>
  <ScaleCrop>false</ScaleCrop>
  <LinksUpToDate>false</LinksUpToDate>
  <CharactersWithSpaces>5165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2022-07-26T10:12:00Z</dcterms:created>
  <dc:creator>wangqingchun</dc:creator>
  <cp:lastModifiedBy>单文凤</cp:lastModifiedBy>
  <cp:lastPrinted>2021-07-12T09:41:00Z</cp:lastPrinted>
  <dcterms:modified xsi:type="dcterms:W3CDTF">2022-11-16T06:10:20Z</dcterms:modified>
  <dc:title>微软用户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24AF1FB476BA4C7F93999E90B006EB3E</vt:lpwstr>
  </property>
</Properties>
</file>